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right="-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0550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Муниципальный район «Белгородский район» Белгородская область 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ЗЕМСКОЕ СОБРАНИЕ ПУШКАРСКОГО СЕЛЬСКОГО ПОСЕЛения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заседание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земского собрания  пятого созыва 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>
      <w:pPr>
        <w:spacing w:after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ПРОЕКТ</w:t>
      </w:r>
    </w:p>
    <w:p>
      <w:pPr>
        <w:spacing w:after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>
      <w:pPr>
        <w:spacing w:after="0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>
      <w:pPr>
        <w:spacing w:after="0"/>
        <w:ind w:right="-5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«     »                       2025                                                                                                       № </w:t>
      </w:r>
    </w:p>
    <w:p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О внесении изменений в решение земского собрания Пушкарского сельского поселения от 18.02.2016 г. № 192 «Об утверждении Положения о бюджетном процессе Пушкарского сельского поселения муниципального района «Белгородский район» Белгородской области»</w:t>
      </w:r>
    </w:p>
    <w:p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приведения муниципальных правовых актов в соответствие с действующим законодательством </w:t>
      </w:r>
    </w:p>
    <w:p>
      <w:pPr>
        <w:spacing w:after="0" w:line="23" w:lineRule="atLeast"/>
        <w:ind w:firstLine="708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3" w:lineRule="atLeast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Земское собрани</w:t>
      </w:r>
      <w:r>
        <w:rPr>
          <w:rFonts w:ascii="Times New Roman" w:hAnsi="Times New Roman"/>
          <w:b/>
          <w:sz w:val="28"/>
          <w:szCs w:val="28"/>
        </w:rPr>
        <w:t xml:space="preserve">е Пушкарского сельского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 о:</w:t>
      </w:r>
    </w:p>
    <w:p>
      <w:pPr>
        <w:spacing w:after="0" w:line="23" w:lineRule="atLeast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>
      <w:pPr>
        <w:numPr>
          <w:ilvl w:val="0"/>
          <w:numId w:val="25"/>
        </w:numPr>
        <w:tabs>
          <w:tab w:val="left" w:pos="993"/>
        </w:tabs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земского собрания Пушкарского сельского</w:t>
      </w:r>
    </w:p>
    <w:p>
      <w:pPr>
        <w:tabs>
          <w:tab w:val="left" w:pos="993"/>
        </w:tabs>
        <w:spacing w:after="0" w:line="23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18.02.2016 г. № 192 «Об утверждении Положения о бюджетном процессе Пушкарского сельского поселения муниципального района «Белгородский район» Белгородской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решение) следующие изменения:</w:t>
      </w:r>
    </w:p>
    <w:p>
      <w:pPr>
        <w:numPr>
          <w:ilvl w:val="1"/>
          <w:numId w:val="25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Положении о бюджетном процессе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Пушкарского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сельского поселения муниципального района «Белгородский район» Белгородской области»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утвержденном Решением, (далее – Положение):</w:t>
      </w:r>
    </w:p>
    <w:p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Статью 12 Положения изложить в новой редакции:</w:t>
      </w:r>
    </w:p>
    <w:p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Статья 12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Налоговые доходы бюджета сельского поселения </w:t>
      </w:r>
    </w:p>
    <w:p>
      <w:pPr>
        <w:pStyle w:val="af0"/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К налоговым доходам бюджета сельского поселения относятся доходы, зачисляемые в бюджет в соответствии с бюджетным законодательством Российской Федерации и законодательством о налогах и сборах.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бюджет сельского поселения подлежат зачислению налоговые доходы от местных налогов, устанавливаемых решениями земского собрания Пушкарского сельского поселения и налоговые доходы от федеральных налогов и сборов, в том числе налогов, предусмотренных специальными налоговыми режимами: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доходы от местных налогов: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земельный налог;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налог на имущество физических лиц;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доходы от федеральных налогов и сборов, в том числе налогов, предусмотренных специальными налоговыми режимами: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налог на доходы физических лиц (за исключением налога на доходы физических лиц в отношении доходов, указанных в </w:t>
      </w:r>
      <w:hyperlink r:id="rId9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абзацах тридцать пятом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тридцать шестом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тридцать девятом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пятьдесят седьмом статьи 50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Федерации);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единый сельскохозяйственный налог;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государственная пошлина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бюджет сельского поселения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субъекта Российской Федерации в соответствии со </w:t>
      </w:r>
      <w:hyperlink r:id="rId13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58</w:t>
        </w:r>
      </w:hyperlink>
      <w:r>
        <w:rPr>
          <w:rFonts w:ascii="Times New Roman" w:hAnsi="Times New Roman"/>
          <w:sz w:val="28"/>
          <w:szCs w:val="28"/>
        </w:rPr>
        <w:t xml:space="preserve"> и с </w:t>
      </w:r>
      <w:hyperlink r:id="rId14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4 статьи 61.1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 сельского поселения подлежат зачислению налоговые доходы от федеральных налогов и сборов, в том числе от налогов, предусмотренных специальными налоговыми режимами, региональных и (или) местных налогов по нормативам отчислений, установленным решением Муниципального совета Белгородского района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63</w:t>
        </w:r>
      </w:hyperlink>
      <w:r>
        <w:rPr>
          <w:rFonts w:ascii="Times New Roman" w:hAnsi="Times New Roman"/>
          <w:sz w:val="28"/>
          <w:szCs w:val="28"/>
        </w:rPr>
        <w:t xml:space="preserve"> настоящего Бюджетного Кодекса Российской Федерации.».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Статью 13 Положения изложить в новой редакции: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13. Неналоговые доходы бюджета сельского поселения</w:t>
      </w:r>
    </w:p>
    <w:p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К неналоговым доходам бюджета сельского поселения относятся доходы, зачисляемые в бюджет в соответствии с законодательством Российской Федерации, законами Белгородской области, решениями земского собрания Пушкарского сельского поселения.</w:t>
      </w:r>
    </w:p>
    <w:p>
      <w:pPr>
        <w:pStyle w:val="af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Неналоговые доходы сельского поселения формируются в соответствии со </w:t>
      </w:r>
      <w:hyperlink r:id="rId16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статьями 41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46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58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63.1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 К неналоговым доходам сельского поселения относятся:</w:t>
      </w:r>
    </w:p>
    <w:p>
      <w:pPr>
        <w:pStyle w:val="af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доходы от использования имущества, находящегося в собственности Пушкарского сельского поселения,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доходы от продажи имущества (кроме акций и иных форм участия в капитале), находящегося в собственности Пушкарского сельского поселения,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доходы от платных услуг, оказываемых муниципальными казенными учреждениями;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часть прибыли унитарных предприятий сельского поселения, остающейся после уплаты налогов и иных обязательных платежей, в размерах, определяемых в порядке, установленном муниципальными правовыми актами;</w:t>
      </w:r>
    </w:p>
    <w:p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5) доходы от продажи земельных участков, которые расположены в границах Пушкарского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Белгородской области;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доходы от передачи в аренду земельных участков, которые расположены в границах Пушкарского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Белгородской области, а также доходы от продажи прав на заключение договоров аренды таких земельных участков;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Пушкарского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Белгородской области;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Пушкарского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Белгородской области;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плата по соглашениям об установлении сервитута, заключенным исполнительными органами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Пушкарского сельского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Пушкарского сельского поселения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Белгородской области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 </w:t>
      </w:r>
      <w:r>
        <w:rPr>
          <w:rFonts w:ascii="Times New Roman" w:hAnsi="Times New Roman"/>
          <w:sz w:val="28"/>
          <w:szCs w:val="28"/>
        </w:rPr>
        <w:lastRenderedPageBreak/>
        <w:t>самоуправления (муниципальных органов), органов управления государственными внебюджетными фондами и казенных учреждений;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плата за пользование водными объектами в зависимости от права собственности на водные объекты;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штрафы и иные суммы принудительного изъятия - в соответствии со статьей 46 Бюджетного кодекса Российской Федерации;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иные неналоговые доходы.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бюджет сельского поселения подлежат зачислению неналоговые доходы по нормативам отчислений, установленным органами государственной власти субъектов Российской Федерации в соответствии со </w:t>
      </w:r>
      <w:hyperlink r:id="rId22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58</w:t>
        </w:r>
      </w:hyperlink>
      <w:r>
        <w:rPr>
          <w:rFonts w:ascii="Times New Roman" w:hAnsi="Times New Roman"/>
          <w:sz w:val="28"/>
          <w:szCs w:val="28"/>
        </w:rPr>
        <w:t xml:space="preserve"> настоящего Кодекса.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бюджет сельского поселения подлежат зачислению неналоговые доходы по нормативам отчислений, установленным представительным органом муниципального района (городского округа с внутригородским делением) в соответствии со </w:t>
      </w:r>
      <w:hyperlink r:id="rId23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статьями 63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24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63.1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Кодекса.».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Обнародовать настоящее решение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 (</w:t>
      </w:r>
      <w:hyperlink r:id="rId25" w:history="1">
        <w:r>
          <w:rPr>
            <w:rStyle w:val="a4"/>
            <w:rFonts w:ascii="Times New Roman" w:eastAsia="Times New Roman" w:hAnsi="Times New Roman"/>
            <w:bCs/>
            <w:color w:val="auto"/>
            <w:sz w:val="27"/>
            <w:szCs w:val="27"/>
            <w:lang w:eastAsia="ru-RU"/>
          </w:rPr>
          <w:t>https://</w:t>
        </w:r>
        <w:r>
          <w:t xml:space="preserve"> </w:t>
        </w:r>
        <w:r>
          <w:rPr>
            <w:rStyle w:val="a4"/>
            <w:rFonts w:ascii="Times New Roman" w:eastAsia="Times New Roman" w:hAnsi="Times New Roman"/>
            <w:bCs/>
            <w:color w:val="auto"/>
            <w:sz w:val="27"/>
            <w:szCs w:val="27"/>
            <w:lang w:eastAsia="ru-RU"/>
          </w:rPr>
          <w:t>(pushkarskoe-r31.gosweb.gosuslugi.ru)/</w:t>
        </w:r>
      </w:hyperlink>
      <w:r>
        <w:rPr>
          <w:rFonts w:ascii="Times New Roman" w:hAnsi="Times New Roman"/>
          <w:sz w:val="28"/>
          <w:szCs w:val="28"/>
        </w:rPr>
        <w:t>).</w:t>
      </w:r>
    </w:p>
    <w:p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3. Настоящее решение вступает в силу со дня его официального опубликования и распространяется на правоотношения возникшие с 1 января 2025 года.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4.Контроль за выполнением настоящего решения возложить на постоянную комиссию по бюджету, финансовой и налоговой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политики  (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</w:rPr>
        <w:t>Карнаух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Н.В.)</w:t>
      </w:r>
    </w:p>
    <w:p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>
      <w:pPr>
        <w:widowControl w:val="0"/>
        <w:tabs>
          <w:tab w:val="left" w:pos="1126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Глава Пушкарского </w:t>
      </w:r>
    </w:p>
    <w:p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сельского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поселения                                                                В.И.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Смольякова</w:t>
      </w:r>
      <w:proofErr w:type="spellEnd"/>
    </w:p>
    <w:p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>
      <w:headerReference w:type="even" r:id="rId26"/>
      <w:headerReference w:type="default" r:id="rId2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framePr w:wrap="around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5255"/>
    <w:multiLevelType w:val="hybridMultilevel"/>
    <w:tmpl w:val="EEFC02DE"/>
    <w:lvl w:ilvl="0" w:tplc="3D0EA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174D1C91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43BCF"/>
    <w:multiLevelType w:val="hybridMultilevel"/>
    <w:tmpl w:val="AD7AB7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10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11">
    <w:nsid w:val="2E1232B0"/>
    <w:multiLevelType w:val="hybridMultilevel"/>
    <w:tmpl w:val="C1E0650A"/>
    <w:lvl w:ilvl="0" w:tplc="8C146F50">
      <w:start w:val="11"/>
      <w:numFmt w:val="decimal"/>
      <w:lvlText w:val="%1."/>
      <w:lvlJc w:val="left"/>
      <w:pPr>
        <w:ind w:left="97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780A15"/>
    <w:multiLevelType w:val="hybridMultilevel"/>
    <w:tmpl w:val="F75A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AEF7E5F"/>
    <w:multiLevelType w:val="hybridMultilevel"/>
    <w:tmpl w:val="33AA77F6"/>
    <w:lvl w:ilvl="0" w:tplc="7812E6E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9E4A1E8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1">
    <w:nsid w:val="607362B6"/>
    <w:multiLevelType w:val="multilevel"/>
    <w:tmpl w:val="8F9E3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23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4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996" w:hanging="720"/>
      </w:pPr>
    </w:lvl>
    <w:lvl w:ilvl="2">
      <w:start w:val="1"/>
      <w:numFmt w:val="decimal"/>
      <w:isLgl/>
      <w:lvlText w:val="%1.%2.%3."/>
      <w:lvlJc w:val="left"/>
      <w:pPr>
        <w:ind w:left="2217" w:hanging="720"/>
      </w:pPr>
    </w:lvl>
    <w:lvl w:ilvl="3">
      <w:start w:val="1"/>
      <w:numFmt w:val="decimal"/>
      <w:isLgl/>
      <w:lvlText w:val="%1.%2.%3.%4."/>
      <w:lvlJc w:val="left"/>
      <w:pPr>
        <w:ind w:left="2577" w:hanging="1080"/>
      </w:pPr>
    </w:lvl>
    <w:lvl w:ilvl="4">
      <w:start w:val="1"/>
      <w:numFmt w:val="decimal"/>
      <w:isLgl/>
      <w:lvlText w:val="%1.%2.%3.%4.%5."/>
      <w:lvlJc w:val="left"/>
      <w:pPr>
        <w:ind w:left="2577" w:hanging="1080"/>
      </w:pPr>
    </w:lvl>
    <w:lvl w:ilvl="5">
      <w:start w:val="1"/>
      <w:numFmt w:val="decimal"/>
      <w:isLgl/>
      <w:lvlText w:val="%1.%2.%3.%4.%5.%6."/>
      <w:lvlJc w:val="left"/>
      <w:pPr>
        <w:ind w:left="2937" w:hanging="1440"/>
      </w:pPr>
    </w:lvl>
    <w:lvl w:ilvl="6">
      <w:start w:val="1"/>
      <w:numFmt w:val="decimal"/>
      <w:isLgl/>
      <w:lvlText w:val="%1.%2.%3.%4.%5.%6.%7."/>
      <w:lvlJc w:val="left"/>
      <w:pPr>
        <w:ind w:left="3297" w:hanging="1800"/>
      </w:pPr>
    </w:lvl>
    <w:lvl w:ilvl="7">
      <w:start w:val="1"/>
      <w:numFmt w:val="decimal"/>
      <w:isLgl/>
      <w:lvlText w:val="%1.%2.%3.%4.%5.%6.%7.%8."/>
      <w:lvlJc w:val="left"/>
      <w:pPr>
        <w:ind w:left="3297" w:hanging="1800"/>
      </w:pPr>
    </w:lvl>
    <w:lvl w:ilvl="8">
      <w:start w:val="1"/>
      <w:numFmt w:val="decimal"/>
      <w:isLgl/>
      <w:lvlText w:val="%1.%2.%3.%4.%5.%6.%7.%8.%9."/>
      <w:lvlJc w:val="left"/>
      <w:pPr>
        <w:ind w:left="3657" w:hanging="2160"/>
      </w:pPr>
    </w:lvl>
  </w:abstractNum>
  <w:abstractNum w:abstractNumId="26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24"/>
  </w:num>
  <w:num w:numId="5">
    <w:abstractNumId w:val="13"/>
  </w:num>
  <w:num w:numId="6">
    <w:abstractNumId w:val="16"/>
  </w:num>
  <w:num w:numId="7">
    <w:abstractNumId w:val="6"/>
  </w:num>
  <w:num w:numId="8">
    <w:abstractNumId w:val="22"/>
  </w:num>
  <w:num w:numId="9">
    <w:abstractNumId w:val="9"/>
  </w:num>
  <w:num w:numId="10">
    <w:abstractNumId w:val="17"/>
  </w:num>
  <w:num w:numId="11">
    <w:abstractNumId w:val="20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12"/>
  </w:num>
  <w:num w:numId="15">
    <w:abstractNumId w:val="26"/>
  </w:num>
  <w:num w:numId="16">
    <w:abstractNumId w:val="11"/>
  </w:num>
  <w:num w:numId="17">
    <w:abstractNumId w:val="23"/>
  </w:num>
  <w:num w:numId="18">
    <w:abstractNumId w:val="21"/>
  </w:num>
  <w:num w:numId="19">
    <w:abstractNumId w:val="8"/>
  </w:num>
  <w:num w:numId="20">
    <w:abstractNumId w:val="14"/>
  </w:num>
  <w:num w:numId="21">
    <w:abstractNumId w:val="7"/>
  </w:num>
  <w:num w:numId="22">
    <w:abstractNumId w:val="15"/>
  </w:num>
  <w:num w:numId="23">
    <w:abstractNumId w:val="3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</w:style>
  <w:style w:type="table" w:customStyle="1" w:styleId="13">
    <w:name w:val="Сетка таблицы1"/>
    <w:basedOn w:val="a1"/>
    <w:next w:val="ae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66790&amp;dst=1300" TargetMode="External"/><Relationship Id="rId18" Type="http://schemas.openxmlformats.org/officeDocument/2006/relationships/hyperlink" Target="https://login.consultant.ru/link/?req=doc&amp;base=RZB&amp;n=466790&amp;dst=480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66790&amp;dst=55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66790&amp;dst=7725" TargetMode="External"/><Relationship Id="rId17" Type="http://schemas.openxmlformats.org/officeDocument/2006/relationships/hyperlink" Target="https://login.consultant.ru/link/?req=doc&amp;base=RZB&amp;n=466790&amp;dst=1229" TargetMode="External"/><Relationship Id="rId25" Type="http://schemas.openxmlformats.org/officeDocument/2006/relationships/hyperlink" Target="https://nikolskoe-r31.gosweb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6790&amp;dst=1212" TargetMode="External"/><Relationship Id="rId20" Type="http://schemas.openxmlformats.org/officeDocument/2006/relationships/hyperlink" Target="https://login.consultant.ru/link/?req=doc&amp;base=RZB&amp;n=466790&amp;dst=557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6790&amp;dst=7714" TargetMode="External"/><Relationship Id="rId24" Type="http://schemas.openxmlformats.org/officeDocument/2006/relationships/hyperlink" Target="https://login.consultant.ru/link/?req=doc&amp;base=RZB&amp;n=466790&amp;dst=55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6790&amp;dst=4118" TargetMode="External"/><Relationship Id="rId23" Type="http://schemas.openxmlformats.org/officeDocument/2006/relationships/hyperlink" Target="https://login.consultant.ru/link/?req=doc&amp;base=RZB&amp;n=466790&amp;dst=557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6790&amp;dst=6388" TargetMode="External"/><Relationship Id="rId19" Type="http://schemas.openxmlformats.org/officeDocument/2006/relationships/hyperlink" Target="https://login.consultant.ru/link/?req=doc&amp;base=RZB&amp;n=466790&amp;dst=55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6790&amp;dst=6387" TargetMode="External"/><Relationship Id="rId14" Type="http://schemas.openxmlformats.org/officeDocument/2006/relationships/hyperlink" Target="https://login.consultant.ru/link/?req=doc&amp;base=RZB&amp;n=466790&amp;dst=4064" TargetMode="External"/><Relationship Id="rId22" Type="http://schemas.openxmlformats.org/officeDocument/2006/relationships/hyperlink" Target="https://login.consultant.ru/link/?req=doc&amp;base=RZB&amp;n=466790&amp;dst=5570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593A-0D4A-4F3F-B2A6-57CB2F05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40</cp:revision>
  <cp:lastPrinted>2025-04-15T06:38:00Z</cp:lastPrinted>
  <dcterms:created xsi:type="dcterms:W3CDTF">2025-04-03T14:11:00Z</dcterms:created>
  <dcterms:modified xsi:type="dcterms:W3CDTF">2025-04-15T06:41:00Z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