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5"/>
        <w:jc w:val="right"/>
        <w:rPr>
          <w:b/>
          <w:bCs/>
          <w:sz w:val="28"/>
          <w:szCs w:val="28"/>
        </w:rPr>
      </w:pPr>
    </w:p>
    <w:p>
      <w:pPr>
        <w:widowControl w:val="0"/>
        <w:spacing w:after="200"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62.25pt;visibility:visible">
            <v:imagedata r:id="rId7" o:title=""/>
          </v:shape>
        </w:pict>
      </w:r>
    </w:p>
    <w:p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ЗЕМСКОЕ СОБРАНИЕ ПУШКАРСКОГО СЕЛЬСКОГО ПОСЕЛЕНИЯ</w:t>
      </w:r>
    </w:p>
    <w:p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четырнадцатое заседание собрания пятого созыва</w:t>
      </w:r>
    </w:p>
    <w:p>
      <w:pPr>
        <w:spacing w:after="200"/>
        <w:rPr>
          <w:sz w:val="28"/>
          <w:szCs w:val="28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</w:t>
      </w:r>
    </w:p>
    <w:p>
      <w:pPr>
        <w:widowControl w:val="0"/>
        <w:spacing w:line="360" w:lineRule="atLeast"/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>
      <w:pPr>
        <w:widowControl w:val="0"/>
        <w:spacing w:line="360" w:lineRule="atLeast"/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«29» октября 2024 года</w:t>
      </w:r>
      <w:r>
        <w:rPr>
          <w:sz w:val="28"/>
          <w:szCs w:val="28"/>
        </w:rPr>
        <w:tab/>
        <w:t xml:space="preserve">                                                                               № 67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передаче к осуществлению полномочий Контрольно – счетной комиссии Пушкарского сельского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по осуществлению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внешнего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финансового контроля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целях реализации положений Бюджетного кодекса Российской Федерации, в соответствии с частью 11 статьи 3 Федерального закона                    от 7 февраля 2011 г. № 6-ФЗ «Об общих принципах организации                         и деятельности контрольно-счетных органов субъектов Российской Федерации, федеральных территорий и муниципальных образований», статьей                      38 Федерального закона от 6 октября 2003 г. № 131-ФЗ «Об общих принципах организации местного самоуправления в Российской Федерации»,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Уставом Пушкарского сельского поселения муниципального района «Белгородский район» Белгородской области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 Пушкарского сельского поселения решило:</w:t>
      </w:r>
    </w:p>
    <w:p>
      <w:pPr>
        <w:ind w:firstLine="567"/>
        <w:jc w:val="center"/>
        <w:rPr>
          <w:b/>
          <w:spacing w:val="100"/>
          <w:sz w:val="28"/>
          <w:szCs w:val="28"/>
        </w:rPr>
      </w:pPr>
    </w:p>
    <w:p>
      <w:pPr>
        <w:ind w:firstLine="567"/>
        <w:jc w:val="center"/>
        <w:rPr>
          <w:b/>
          <w:spacing w:val="100"/>
          <w:sz w:val="16"/>
          <w:szCs w:val="16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rStyle w:val="aff0"/>
          <w:i w:val="0"/>
          <w:sz w:val="28"/>
          <w:szCs w:val="28"/>
        </w:rPr>
        <w:t>1. Передать Контрольно-счетной комиссии Белгородского района следующие полномочия Контрольно-счетной комиссии</w:t>
      </w:r>
      <w:r>
        <w:rPr>
          <w:rStyle w:val="aff0"/>
          <w:sz w:val="28"/>
          <w:szCs w:val="28"/>
        </w:rPr>
        <w:t xml:space="preserve"> </w:t>
      </w:r>
      <w:r>
        <w:rPr>
          <w:bCs/>
          <w:sz w:val="28"/>
          <w:szCs w:val="28"/>
        </w:rPr>
        <w:t>Пушкарского сельского поселения</w:t>
      </w:r>
      <w:r>
        <w:rPr>
          <w:spacing w:val="6"/>
          <w:sz w:val="28"/>
          <w:szCs w:val="28"/>
        </w:rPr>
        <w:t xml:space="preserve"> муниципального </w:t>
      </w:r>
      <w:r>
        <w:rPr>
          <w:spacing w:val="5"/>
          <w:sz w:val="28"/>
          <w:szCs w:val="28"/>
        </w:rPr>
        <w:t xml:space="preserve">района «Белгородский район» Белгородской области </w:t>
      </w:r>
      <w:r>
        <w:rPr>
          <w:sz w:val="28"/>
          <w:szCs w:val="28"/>
        </w:rPr>
        <w:t>по осуществлению внешнего муниципального финансового контроля</w:t>
      </w:r>
      <w:r>
        <w:rPr>
          <w:spacing w:val="5"/>
          <w:sz w:val="28"/>
          <w:szCs w:val="28"/>
        </w:rPr>
        <w:t xml:space="preserve">  с 1 января по 31 декабря 2025 года: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контроля за законностью                                      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экспертиза проекта бюджета поселения, проверка и анализ обоснованности его показателей;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внешняя проверка годового отчета об исполнении бюджета поселения;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аудита в сфере закупок товаров, работ и услуг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 и муниципальных нужд»;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                   и распоряжения такой собственностью (включая исключительные права                   на результаты интеллектуальной деятельности);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предоставления налоговых и иных льгот 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собственности поселения;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информации о ходе исполнения бюджета поселения,   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>
      <w:pPr>
        <w:pStyle w:val="ConsPlusNormal"/>
        <w:ind w:firstLine="539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осуществление контроля за состоянием муниципального внутреннего                   и внешнего долга;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пределах полномочий в мероприятиях, направленных                        на противодействие коррупции;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Проект соглашения о передаче Контрольно-счетной комиссии Белгородского района полномочий контрольно-счетной комиссии Пушкарского сельского</w:t>
      </w:r>
      <w:r>
        <w:rPr>
          <w:bCs/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по осуществлению внешнего муниципального финансового контроля (прилагается).  </w:t>
      </w:r>
    </w:p>
    <w:p>
      <w:pPr>
        <w:pStyle w:val="a3"/>
        <w:widowControl/>
        <w:numPr>
          <w:ilvl w:val="1"/>
          <w:numId w:val="7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Порядок и условия предоставления межбюджетных трансфертов, предоставляемых из бюджета Пушкарского сельского поселения бюджету муниципального района «Белгородский район» Белгородской области на </w:t>
      </w:r>
      <w:r>
        <w:rPr>
          <w:sz w:val="28"/>
          <w:szCs w:val="28"/>
        </w:rPr>
        <w:lastRenderedPageBreak/>
        <w:t xml:space="preserve">осуществление полномочий сельского поселения </w:t>
      </w:r>
      <w:r>
        <w:rPr>
          <w:bCs/>
          <w:sz w:val="28"/>
          <w:szCs w:val="28"/>
        </w:rPr>
        <w:t xml:space="preserve">по осуществлению </w:t>
      </w:r>
      <w:r>
        <w:rPr>
          <w:sz w:val="28"/>
          <w:szCs w:val="28"/>
        </w:rPr>
        <w:t>внешнего муниципального финансового контроля (прилагается).</w:t>
      </w:r>
    </w:p>
    <w:p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Методику расчета межбюджетных трансфертов, предоставляемых                    из бюджета Пушкарского сельского поселения бюджету муниципального района «Белгородский район» Белгородской области на</w:t>
      </w:r>
      <w:r>
        <w:rPr>
          <w:bCs/>
          <w:sz w:val="28"/>
          <w:szCs w:val="28"/>
        </w:rPr>
        <w:t xml:space="preserve"> осуществление полномочий Контрольно-счетной комиссии сельского поселения по осуществлению внешнего</w:t>
      </w:r>
      <w:r>
        <w:rPr>
          <w:sz w:val="28"/>
          <w:szCs w:val="28"/>
        </w:rPr>
        <w:t xml:space="preserve"> муниципального финансового контроля</w:t>
      </w:r>
      <w:r>
        <w:rPr>
          <w:bCs/>
          <w:sz w:val="28"/>
          <w:szCs w:val="28"/>
        </w:rPr>
        <w:t xml:space="preserve"> (прилагается).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Пушкарского сельского поселения (Смольяковой В.И.) заключить с Муниципальным советом Белгородского района соглашение о передаче к осуществлению полномочий </w:t>
      </w:r>
      <w:r>
        <w:rPr>
          <w:bCs/>
          <w:sz w:val="28"/>
          <w:szCs w:val="28"/>
        </w:rPr>
        <w:t xml:space="preserve">по осуществлению </w:t>
      </w:r>
      <w:r>
        <w:rPr>
          <w:sz w:val="28"/>
          <w:szCs w:val="28"/>
        </w:rPr>
        <w:t>внешнего муниципального финансового контроля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земского собрания Пушкарского сельского поселения от 22.10.2021 № 173 «О передаче к  осуществлению полномочий Контрольно – счетной комиссии Пушкарского сельского поселения по осуществлению внешнего муниципального финансового контроля».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01.01.2025 года.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</w:t>
      </w:r>
      <w:r>
        <w:rPr>
          <w:sz w:val="28"/>
          <w:szCs w:val="28"/>
        </w:rPr>
        <w:t xml:space="preserve"> Пушкарского сельского поселения </w:t>
      </w:r>
      <w:r>
        <w:rPr>
          <w:bCs/>
          <w:sz w:val="28"/>
          <w:szCs w:val="28"/>
        </w:rPr>
        <w:t>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 (</w:t>
      </w:r>
      <w:r>
        <w:rPr>
          <w:rFonts w:eastAsia="Calibri"/>
          <w:sz w:val="28"/>
          <w:szCs w:val="28"/>
          <w:lang w:eastAsia="en-US"/>
        </w:rPr>
        <w:t>https://https:// pushkarskoe-r31.gosweb.gosuslugi.ru</w:t>
      </w:r>
      <w:r>
        <w:rPr>
          <w:sz w:val="28"/>
          <w:szCs w:val="28"/>
        </w:rPr>
        <w:t>).</w:t>
      </w:r>
    </w:p>
    <w:p>
      <w:pPr>
        <w:widowControl w:val="0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                 на постоянную комиссию земского собрания Пушкарского сельского поселения по </w:t>
      </w:r>
      <w:r>
        <w:rPr>
          <w:bCs/>
          <w:sz w:val="28"/>
          <w:szCs w:val="28"/>
        </w:rPr>
        <w:t xml:space="preserve">бюджету, финансовой и налоговой политике </w:t>
      </w:r>
      <w:r>
        <w:rPr>
          <w:sz w:val="28"/>
          <w:szCs w:val="28"/>
        </w:rPr>
        <w:t>(Карнаух Н.В.).</w:t>
      </w:r>
    </w:p>
    <w:p>
      <w:pPr>
        <w:widowControl w:val="0"/>
        <w:tabs>
          <w:tab w:val="left" w:pos="1134"/>
        </w:tabs>
        <w:ind w:left="567"/>
        <w:jc w:val="both"/>
        <w:rPr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Пушкарского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r>
        <w:rPr>
          <w:b/>
          <w:sz w:val="28"/>
          <w:szCs w:val="28"/>
        </w:rPr>
        <w:t>В.И.Смольякова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  <w:r>
        <w:rPr>
          <w:b/>
          <w:caps/>
          <w:sz w:val="28"/>
          <w:szCs w:val="28"/>
        </w:rPr>
        <w:t>УТВЕРЖДЕНО</w:t>
      </w:r>
    </w:p>
    <w:p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Пушкарского сельского поселения</w:t>
      </w:r>
    </w:p>
    <w:p>
      <w:pPr>
        <w:ind w:left="50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«29» октября  2024 г.  № 67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>СОГЛАШЕНИЕ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b w:val="0"/>
          <w:sz w:val="28"/>
          <w:szCs w:val="28"/>
        </w:rPr>
      </w:pPr>
      <w:r>
        <w:rPr>
          <w:b/>
          <w:sz w:val="28"/>
          <w:szCs w:val="28"/>
        </w:rPr>
        <w:t xml:space="preserve">о передаче Контрольно-счетной комиссии Белгородского района полномочий контрольно-счетной комиссии Пушкарского сельского </w:t>
      </w:r>
      <w:r>
        <w:rPr>
          <w:b/>
          <w:bCs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Белгород                                                                     «__» ___________ 2024 г.</w:t>
      </w:r>
    </w:p>
    <w:p>
      <w:pPr>
        <w:ind w:firstLine="539"/>
        <w:rPr>
          <w:sz w:val="28"/>
          <w:szCs w:val="28"/>
        </w:rPr>
      </w:pP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Земское собрание Пушкарского сельского поселения муниципального района «Белгородский район» Белгородской области, именуемое в дальнейшем «Земское (Поселковое) собрание», в лице председателя земского (поселкового) собрания  _____ поселения, действующего на основании Устава __________  поселения муниципального района «Белгородский район» Белгородской области, с одной стороны, </w:t>
      </w:r>
    </w:p>
    <w:p>
      <w:pPr>
        <w:pStyle w:val="af9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 Муниципальный совет Белгородского района (далее – Муниципальный совет), в лице председателя Муниципального совета Белгородского района Тишина Сергея Ивановича, действующего на основании Устава муниципального района «Белгородский район» Белгородской области, утвержденного решением Совета депутатов Белгородского района Белгородской области от 31.07.2007 № 309, с другой стороны, в дальнейшем именуемые «Стороны», 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38 Федерального закона от 06.10.2003 № 131-ФЗ «Об общих принципах организации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                       и муниципальных образований», Уставом муниципального района «Белгородский район» Белгородской области, Уставом ______  поселения муниципального района «Белгородский район» Белгородской области, решением земского (поселкового) собрания ____  поселения от «___» _____ 2024 года № _____  «О передаче Контрольно-счетной комиссии Белгородского района полномочий контрольно-счетной комиссии ______ поселения  по осуществлению внешнего муниципального финансового контроля» и Муниципального совета от «___» _________ 2024 года №_____  «Об осуществлении полномочий Контрольно-счетных комиссий поселений по осуществлению внешнего муниципального финансового контроля» , заключили настоящее Соглашение между Муниципальным советом </w:t>
      </w:r>
      <w:r>
        <w:rPr>
          <w:sz w:val="28"/>
          <w:szCs w:val="28"/>
        </w:rPr>
        <w:lastRenderedPageBreak/>
        <w:t>Белгородского района и __________ собранием _________поселения об осуществлении Контрольно-счетной комиссией Белгородского района полномочий контрольно-счетной комиссии ____________поселения по осуществлению внешнего муниципального финансового контроля (далее – «Соглашение») о нижеследующем: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>
        <w:rPr>
          <w:rStyle w:val="afa"/>
          <w:sz w:val="28"/>
          <w:szCs w:val="28"/>
        </w:rPr>
        <w:t>1. Предмет Соглашения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Предметом настоящего Соглашения является осуществление Контрольно-счетной комиссией Белгородского района (далее - Контрольно-счетная комиссия) полномочий контрольно-счетной комиссии поселения по осуществлению внешнего муниципального финансового контроля, в соответствии с пунктом 2.1. настоящего Соглашения.</w:t>
      </w:r>
    </w:p>
    <w:p>
      <w:pPr>
        <w:pStyle w:val="af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Внешний муниципальный финансовый контроль, выполняемый Контрольно-счетной комиссией Белгородского района в порядке приема                   от поселений полномочий, осуществляется в соответствии с Положением                 о Контрольно-счетной комиссии Белгородского района, утвержденным решением Муниципального совета Белгородского района от 24.12.2021 г.                № 450 и настоящим Соглашением</w:t>
      </w:r>
      <w:r>
        <w:t xml:space="preserve">. </w:t>
      </w:r>
    </w:p>
    <w:p>
      <w:pPr>
        <w:pStyle w:val="ConsPlusNormal"/>
        <w:ind w:firstLine="540"/>
        <w:jc w:val="both"/>
      </w:pPr>
      <w:r>
        <w:t>1.3. Принятие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>
      <w:pPr>
        <w:pStyle w:val="ConsPlusNormal"/>
        <w:ind w:firstLine="540"/>
        <w:jc w:val="both"/>
      </w:pPr>
      <w:r>
        <w:t xml:space="preserve">1.4. Для осуществления полномочий городское (сельское) поселение                 из бюджета поселения предоставляет, в соответствии с решениями представительного органа поселения, бюджету муниципального района «Белгородский район» Белгородской области межбюджетные трансферты, определяемые в соответствии с </w:t>
      </w:r>
      <w:hyperlink w:anchor="Par49" w:history="1">
        <w:r>
          <w:t>пунктом 3.1</w:t>
        </w:r>
      </w:hyperlink>
      <w:r>
        <w:t>. настоящего Соглашения.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  <w:vertAlign w:val="subscript"/>
        </w:rPr>
      </w:pP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Перечень полномочий, осуществляемых 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Контрольно-счетной комиссией Белгородского района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af9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2.1. К</w:t>
      </w:r>
      <w:r>
        <w:rPr>
          <w:bCs/>
          <w:sz w:val="28"/>
          <w:szCs w:val="28"/>
        </w:rPr>
        <w:t xml:space="preserve">онтрольно – счетная комиссия осуществляет полномочия </w:t>
      </w:r>
      <w:r>
        <w:rPr>
          <w:sz w:val="28"/>
          <w:szCs w:val="28"/>
        </w:rPr>
        <w:t>контрольно-счётной комиссии поселения по осуществлению внешнего муниципального финансового контроля.</w:t>
      </w:r>
    </w:p>
    <w:p>
      <w:pPr>
        <w:tabs>
          <w:tab w:val="num" w:pos="6300"/>
        </w:tabs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Контрольно – счетную комиссию </w:t>
      </w:r>
      <w:r>
        <w:rPr>
          <w:sz w:val="28"/>
          <w:szCs w:val="28"/>
        </w:rPr>
        <w:t xml:space="preserve">возлагаются следующие функции, при осуществлении полномочий: </w:t>
      </w:r>
    </w:p>
    <w:p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осуществление контроля за законностью                                      и эффективностью использования средств бюджета поселения, а также иных средств в случаях, предусмотренных законодательством Российской Федерации;</w:t>
      </w:r>
    </w:p>
    <w:p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проекта бюджета поселения, проверка и анализ обоснованности его показателей;</w:t>
      </w:r>
    </w:p>
    <w:p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внешняя проверка годового отчета об исполнении бюджета поселения;</w:t>
      </w:r>
    </w:p>
    <w:p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аудита в сфере закупок товаров, работ и услуг в соответствии с Федеральным законом от 5 апреля 2013 г. № 44-ФЗ «О </w:t>
      </w:r>
      <w:r>
        <w:rPr>
          <w:sz w:val="28"/>
          <w:szCs w:val="28"/>
        </w:rPr>
        <w:lastRenderedPageBreak/>
        <w:t>контрактной системе   в сфере закупок товаров, работ, услуг для обеспечения государственных  и муниципальных нужд»;</w:t>
      </w:r>
    </w:p>
    <w:p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             и распоряжения такой собственностью (включая исключительные права                   на результаты интеллектуальной деятельности);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предоставления налоговых и иных льгот                        и преимуществ, использование бюджетных кредитов за счет средств бюджета муниципального района «Белгородский район» Белгородской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  в собственности поселения;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экспертиза проектов муниципальных правовых актов в части, касающейся расходных обязательств поселения, экспертиза проектов муниципальных правовых актов, приводящих к изменению доходов бюджета поселения, а также муниципальных программ (проектов муниципальных программ);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анализ бюджетного процесса в поселении и подготовка предложений, направленных на его совершенствование;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информации о ходе исполнения бюджета поселения,                         о результатах проведенных контрольных и экспертно-аналитических мероприятий и представление такой информации в земское (поселковое) собрание;</w:t>
      </w:r>
    </w:p>
    <w:p>
      <w:pPr>
        <w:pStyle w:val="ConsPlusNormal"/>
        <w:ind w:firstLine="539"/>
        <w:jc w:val="both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>осуществление контроля за состоянием муниципального внутреннего                 и внешнего долга;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пределах полномочий в мероприятиях, направленных                      на противодействие коррупции;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 в сфере внешнего муниципального финансового контроля, установленные федеральными законами, законами Белгородской области и муниципальными правовыми актами.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Внешний муниципальный финансовый контроль осуществляется Контрольно-счетной комиссией в рамках настоящего Соглашения: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отношении органов местного самоуправления поселения, а также иных организаций, если они используют имущество, находящееся в муниципальной собственности поселения;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-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(сельского) поселения в порядке контроля                     за деятельностью главных распорядителей и получателей средств бюджета поселения, предоставивших указанные средства, в случаях, если возможность </w:t>
      </w:r>
      <w:r>
        <w:rPr>
          <w:sz w:val="28"/>
          <w:szCs w:val="28"/>
        </w:rPr>
        <w:lastRenderedPageBreak/>
        <w:t xml:space="preserve">проверок указанных организаций установлена в договорах о предоставлении субсидий, кредитов, гарантий за счет средств бюджета </w:t>
      </w:r>
      <w:r>
        <w:rPr>
          <w:color w:val="000000"/>
          <w:sz w:val="28"/>
          <w:szCs w:val="28"/>
        </w:rPr>
        <w:t>__________ поселения.</w:t>
      </w:r>
    </w:p>
    <w:p>
      <w:pPr>
        <w:pStyle w:val="af9"/>
        <w:shd w:val="clear" w:color="auto" w:fill="FFFFFF"/>
        <w:tabs>
          <w:tab w:val="left" w:pos="284"/>
          <w:tab w:val="left" w:pos="426"/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2.3. В течение срока действия настоящего Соглашения сотрудники Контрольно-счетной комиссии вправе участвовать в заседаниях земского (поселкового) собрания поселения и в заседаниях иных органов местного самоуправления поселения, а также в заседаниях комитетов, комиссий и рабочих групп, создаваемых органом местного самоуправления поселения.</w:t>
      </w:r>
    </w:p>
    <w:p>
      <w:pPr>
        <w:pStyle w:val="afd"/>
        <w:jc w:val="center"/>
        <w:rPr>
          <w:rStyle w:val="afa"/>
          <w:rFonts w:ascii="Times New Roman" w:hAnsi="Times New Roman"/>
          <w:sz w:val="28"/>
          <w:szCs w:val="28"/>
        </w:rPr>
      </w:pPr>
    </w:p>
    <w:p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fa"/>
          <w:rFonts w:ascii="Times New Roman" w:hAnsi="Times New Roman"/>
          <w:sz w:val="28"/>
          <w:szCs w:val="28"/>
        </w:rPr>
        <w:t xml:space="preserve">         3. </w:t>
      </w:r>
      <w:r>
        <w:rPr>
          <w:rFonts w:ascii="Times New Roman" w:hAnsi="Times New Roman"/>
          <w:b/>
          <w:sz w:val="28"/>
          <w:szCs w:val="28"/>
        </w:rPr>
        <w:t>Межбюджетные трансферты, направляемые на осуществление передаваемых полномочий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3.1. Расчет межбюджетных трансфертов, направляемых на осуществление полномочий, указанных в пункте 2.1. настоящего Соглашения, производится              в соответствии с порядком и условиями предоставления межбюджетных трансфертов, предоставляемых в соответствии с решениями представительных органов поселений Белгородского района из бюджетов городских (сельских) поселений бюджету муниципального района «Белгородский район» Белгородской области на осуществление полномочий поселения                               </w:t>
      </w:r>
      <w:r>
        <w:rPr>
          <w:bCs/>
          <w:sz w:val="28"/>
          <w:szCs w:val="28"/>
        </w:rPr>
        <w:t xml:space="preserve">по осуществлению </w:t>
      </w:r>
      <w:r>
        <w:rPr>
          <w:sz w:val="28"/>
          <w:szCs w:val="28"/>
        </w:rPr>
        <w:t>внешнего муниципального финансового контроля</w:t>
      </w:r>
      <w:r>
        <w:rPr>
          <w:rFonts w:eastAsia="Calibri"/>
          <w:sz w:val="28"/>
          <w:szCs w:val="28"/>
          <w:lang w:eastAsia="en-US"/>
        </w:rPr>
        <w:t xml:space="preserve"> (далее - межбюджетные трансферты).</w:t>
      </w:r>
    </w:p>
    <w:p>
      <w:pPr>
        <w:pStyle w:val="ConsPlusNormal"/>
        <w:ind w:firstLine="540"/>
        <w:jc w:val="both"/>
      </w:pPr>
      <w:r>
        <w:t>3.2.</w:t>
      </w:r>
      <w:r>
        <w:tab/>
        <w:t xml:space="preserve"> Предоставление межбюджетных трансфертов осуществляется               в пределах бюджетных ассигнований и лимитов бюджетных обязательств                 на цели, указанные в Соглашении.</w:t>
      </w:r>
    </w:p>
    <w:p>
      <w:pPr>
        <w:tabs>
          <w:tab w:val="left" w:pos="567"/>
        </w:tabs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> Размер межбюджетных трансфертов, направляемых                                на осуществление полномочий, устанавливается в размере:</w:t>
      </w:r>
    </w:p>
    <w:p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2025 год - _________ (_________________) рублей.</w:t>
      </w:r>
    </w:p>
    <w:p>
      <w:pPr>
        <w:tabs>
          <w:tab w:val="left" w:pos="567"/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3.4. Ежегодный объем межбюджетных трансфертов перечисляется ежеквартально равными долями, не позднее 20-го числа месяца, следующего                   за отчетным периодом, из бюджета городского (сельского) поселения бюджету муниципального района. В последний квартал текущего года перечисление производится до 20 декабря текущего года.</w:t>
      </w:r>
    </w:p>
    <w:p>
      <w:pPr>
        <w:pStyle w:val="2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3.5. Расходы бюджета поселения на предоставление межбюджетных трансфертов и расходы бюджета муниципального района «Белгородский район» Белгородской области,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>
      <w:pPr>
        <w:pStyle w:val="2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Межбюджетные трансферты зачисляются в бюджет муниципального района «Белгородский район» Белгородской области по соответствующему коду бюджетной классификации доходов.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color w:val="333333"/>
          <w:sz w:val="28"/>
          <w:szCs w:val="28"/>
        </w:rPr>
      </w:pPr>
      <w:r>
        <w:rPr>
          <w:rStyle w:val="afa"/>
          <w:color w:val="333333"/>
          <w:sz w:val="28"/>
          <w:szCs w:val="28"/>
        </w:rPr>
        <w:t xml:space="preserve">                                   </w:t>
      </w:r>
    </w:p>
    <w:p>
      <w:pPr>
        <w:pStyle w:val="af9"/>
        <w:shd w:val="clear" w:color="auto" w:fill="FFFFFF"/>
        <w:spacing w:before="0" w:beforeAutospacing="0" w:after="0" w:afterAutospacing="0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>4. Права и обязанности Сторон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>
      <w:pPr>
        <w:pStyle w:val="af9"/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4.1. Муниципальный совет: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вправе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вправе запрашивать у Контрольно-счетной комиссии информацию                 об осуществлении предусмотренных настоящим Соглашением полномочий              и результатах проведенных контрольных и экспертно-аналитических мероприятиях.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Контрольно-счетная комиссия:</w:t>
      </w:r>
    </w:p>
    <w:p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осуществляет функции контрольно-счетных органов поселения по осуществлению внешнего муниципального финансового контроля;</w:t>
      </w:r>
    </w:p>
    <w:p>
      <w:pPr>
        <w:shd w:val="clear" w:color="auto" w:fill="FFFFFF"/>
        <w:tabs>
          <w:tab w:val="left" w:pos="567"/>
          <w:tab w:val="left" w:pos="851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включает в планы своей работы контрольные и экспертно-аналитические мероприятия, предусмотренные поручениями представительного органа поселения или предложениями главы администрации поселения;</w:t>
      </w:r>
    </w:p>
    <w:p>
      <w:pPr>
        <w:shd w:val="clear" w:color="auto" w:fill="FFFFFF"/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период проведения внешней проверки годового отчета об исполнении бюджета поселения, а также до получения указанного годового отчета имеет право проводить выборочные проверки деятельности организаций, использующих средства бюджета и (или) имущество поселения по вопросам, рассмотрение которых необходимо для составления заключения на указанный годовой отчет;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- определяет формы, цели, задачи и исполнителей проводимых</w:t>
      </w:r>
      <w:r>
        <w:rPr>
          <w:color w:val="000000"/>
          <w:sz w:val="28"/>
          <w:szCs w:val="28"/>
        </w:rPr>
        <w:t xml:space="preserve"> мероприятий, способы их проведения, проверяемые органы в соответствии со своим регламентом и стандартами внешнего муниципального финансового контроля;</w:t>
      </w:r>
    </w:p>
    <w:p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- направляет</w:t>
      </w:r>
      <w:r>
        <w:rPr>
          <w:color w:val="000000"/>
          <w:sz w:val="28"/>
          <w:szCs w:val="28"/>
        </w:rPr>
        <w:t xml:space="preserve"> отчеты и заключения по результатам проведенных мероприятий в _____земское (поселковое) собрание, вправе направлять указанные материалы иным органам местного самоуправления, а также                 в правоохранительные органы;</w:t>
      </w:r>
    </w:p>
    <w:p>
      <w:pPr>
        <w:shd w:val="clear" w:color="auto" w:fill="FFFFFF"/>
        <w:tabs>
          <w:tab w:val="left" w:pos="567"/>
        </w:tabs>
        <w:spacing w:line="226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- направляет представления и предписания представительному органу                    и администрации поселения, муниципальным предприятиям и учреждениям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 размещает информацию о проведенных мероприятиях на официальном сайте органов местного самоуправления муниципального района «Белгородский район» Белгородской области</w:t>
      </w:r>
      <w:r>
        <w:rPr>
          <w:sz w:val="28"/>
          <w:szCs w:val="28"/>
        </w:rPr>
        <w:t>;</w:t>
      </w:r>
    </w:p>
    <w:p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ежегодно, не позднее 20-го числа месяца, следующего за отчетным периодом, направляет в администрации городских и сельских поселений отчет об использовании межбюджетных трансфертов предоставляемых из бюджета городского (сельского) ___________поселения бюджету муниципального </w:t>
      </w:r>
      <w:r>
        <w:rPr>
          <w:color w:val="000000"/>
          <w:sz w:val="28"/>
          <w:szCs w:val="28"/>
        </w:rPr>
        <w:lastRenderedPageBreak/>
        <w:t xml:space="preserve">района «Белгородский район» Белгородской области </w:t>
      </w:r>
      <w:r>
        <w:rPr>
          <w:sz w:val="28"/>
          <w:szCs w:val="28"/>
        </w:rPr>
        <w:t xml:space="preserve">на осуществление </w:t>
      </w:r>
      <w:r>
        <w:rPr>
          <w:spacing w:val="5"/>
          <w:sz w:val="28"/>
          <w:szCs w:val="28"/>
        </w:rPr>
        <w:t>Контрольно-счетной комиссией Белгородского района полномочий контрольно-счетной комиссии поселения на</w:t>
      </w:r>
      <w:r>
        <w:rPr>
          <w:sz w:val="28"/>
          <w:szCs w:val="28"/>
        </w:rPr>
        <w:t xml:space="preserve"> осуществление внешнего муниципального финансового контроля</w:t>
      </w:r>
      <w:r>
        <w:rPr>
          <w:color w:val="000000"/>
          <w:sz w:val="28"/>
          <w:szCs w:val="28"/>
        </w:rPr>
        <w:t xml:space="preserve"> по форме согласно приложению к настоящему Соглашению.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4.3. Земское собрание Пушкарского сельского поселения</w:t>
      </w:r>
      <w:r>
        <w:rPr>
          <w:color w:val="000000"/>
          <w:sz w:val="28"/>
          <w:szCs w:val="28"/>
        </w:rPr>
        <w:t>: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настоящим Соглашением; 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имеет право направлять в Контрольно-счетную комиссию предложения    о проведении контрольных и экспертно-аналитических мероприятий                          и поручать ему проведение соответствующих мероприятий;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имеет право предлагать Контрольно-счетной комиссии сроки, цели, задачи проводимых мероприятий, способы их проведения, проверяемые органы и организации;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рассматривает отчеты и заключения, а также предложения Контрольно-счетной комиссии по результатам проведения контрольных и экспертно-аналитических мероприятий;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имеет право опубликовывать информацию о проведенных мероприятиях на официальном сайте органа местного самоуправления ______поселения муниципального района «Белгородский район» Белгородской области;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рассматривает обращения Контрольно-счетной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меры,    в том числе муниципальные правовые акты;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имеет право принимать обязательные для Контрольно-счетной комиссии  решения об устранении нарушений, допущенных при осуществлении предусмотренных настоящим Соглашением полномочий;</w:t>
      </w:r>
    </w:p>
    <w:p>
      <w:pPr>
        <w:pStyle w:val="af9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afa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стороны имеют право принимать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иные меры, необходимые                             для реализации настоящего Соглашения.</w:t>
      </w: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</w:t>
      </w:r>
    </w:p>
    <w:p>
      <w:pPr>
        <w:pStyle w:val="ConsPlusNormal"/>
        <w:jc w:val="center"/>
        <w:outlineLvl w:val="1"/>
        <w:rPr>
          <w:b/>
        </w:rPr>
      </w:pPr>
      <w:r>
        <w:rPr>
          <w:b/>
        </w:rPr>
        <w:t xml:space="preserve">5. Срок осуществления полномочий и основания </w:t>
      </w:r>
    </w:p>
    <w:p>
      <w:pPr>
        <w:pStyle w:val="ConsPlusNormal"/>
        <w:jc w:val="center"/>
        <w:outlineLvl w:val="1"/>
      </w:pPr>
      <w:r>
        <w:rPr>
          <w:b/>
        </w:rPr>
        <w:t>прекращения настоящего соглашения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5.1. Настоящее Соглашение действует с 1 января 2025 года до 31 декабря 2025 года.</w:t>
      </w:r>
    </w:p>
    <w:p>
      <w:pPr>
        <w:pStyle w:val="ConsPlusNormal"/>
        <w:ind w:firstLine="540"/>
        <w:jc w:val="both"/>
      </w:pPr>
      <w:r>
        <w:t xml:space="preserve">5.2. </w:t>
      </w:r>
      <w:r>
        <w:rPr>
          <w:rFonts w:eastAsia="Calibri"/>
          <w:lang w:eastAsia="en-US"/>
        </w:rPr>
        <w:t xml:space="preserve">Осуществление полномочий по настоящему Соглашению обеспечивается </w:t>
      </w:r>
      <w:r>
        <w:t>Контрольно-счетной комиссией в период действия настоящего Соглашения и прекращается с истечением срока действия настоящего Соглашения, указанного в п.5.1.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5.3. Действие настоящего Соглашения может быть прекращено досрочно (до истечения срока его действия):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5.3.2.  В одностороннем порядке настоящее Соглашения расторгается            в случае: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изменения действующего законодательства Российской Федерации,              в связи с которым выполнение условий настоящего Соглашения Сторонами становится невозможным;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5.3.3. В судебном порядке на основании решения суда.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расторжения.</w:t>
      </w:r>
    </w:p>
    <w:p>
      <w:pPr>
        <w:tabs>
          <w:tab w:val="left" w:pos="1134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5.6. Контрольно-счетная комиссия несет ответственность за надлежащее осуществление полномочий в той мере, в какой это обеспечено финансовыми средствами.</w:t>
      </w:r>
    </w:p>
    <w:p>
      <w:pPr>
        <w:tabs>
          <w:tab w:val="left" w:pos="567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               о расторжении Соглашения.</w:t>
      </w:r>
    </w:p>
    <w:p>
      <w:pPr>
        <w:pStyle w:val="ConsPlusNormal"/>
        <w:ind w:firstLine="540"/>
        <w:jc w:val="both"/>
      </w:pPr>
    </w:p>
    <w:p>
      <w:pPr>
        <w:pStyle w:val="ConsPlusNormal"/>
        <w:jc w:val="center"/>
        <w:outlineLvl w:val="1"/>
        <w:rPr>
          <w:b/>
        </w:rPr>
      </w:pPr>
      <w:r>
        <w:rPr>
          <w:b/>
        </w:rPr>
        <w:t>6. Заключительные положения</w:t>
      </w:r>
    </w:p>
    <w:p>
      <w:pPr>
        <w:pStyle w:val="ConsPlusNormal"/>
        <w:jc w:val="center"/>
        <w:outlineLvl w:val="1"/>
        <w:rPr>
          <w:b/>
        </w:rPr>
      </w:pPr>
    </w:p>
    <w:p>
      <w:pPr>
        <w:pStyle w:val="ConsPlusNormal"/>
        <w:ind w:firstLine="540"/>
        <w:jc w:val="both"/>
      </w:pPr>
      <w: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  <w: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>
      <w:pPr>
        <w:pStyle w:val="ConsPlusNormal"/>
        <w:ind w:firstLine="540"/>
        <w:jc w:val="both"/>
      </w:pPr>
      <w:r>
        <w:t>6.3. Все уведомления, заявления и сообщения направляются Сторонами             в письменной форме.</w:t>
      </w:r>
    </w:p>
    <w:p>
      <w:pPr>
        <w:pStyle w:val="ConsPlusNormal"/>
        <w:ind w:firstLine="540"/>
        <w:jc w:val="both"/>
      </w:pPr>
      <w:r>
        <w:lastRenderedPageBreak/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>
      <w:pPr>
        <w:pStyle w:val="ConsPlusNormal"/>
        <w:ind w:firstLine="540"/>
        <w:jc w:val="both"/>
      </w:pPr>
      <w: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  в том числе с привлечением третьей стороны. При отсутствии возможности урегулирования споров в порядке переговоров споры подлежат рассмотрению  в суде в соответствии с действующим законодательством Российской Федерации.</w:t>
      </w:r>
    </w:p>
    <w:p>
      <w:pPr>
        <w:pStyle w:val="ConsPlusNormal"/>
        <w:ind w:firstLine="540"/>
        <w:jc w:val="both"/>
      </w:pPr>
      <w: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>
      <w:pPr>
        <w:pStyle w:val="ConsPlusNormal"/>
        <w:ind w:firstLine="540"/>
        <w:jc w:val="both"/>
      </w:pPr>
    </w:p>
    <w:p>
      <w:pPr>
        <w:pStyle w:val="af9"/>
        <w:shd w:val="clear" w:color="auto" w:fill="FFFFFF"/>
        <w:spacing w:before="0" w:beforeAutospacing="0" w:after="0" w:afterAutospacing="0"/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             7. Реквизиты и подписи сторон</w:t>
      </w: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5070"/>
        <w:gridCol w:w="4676"/>
      </w:tblGrid>
      <w:tr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ap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308513 Белгородская область, Белгородский район, с. Пушкарное, ул.Центральная,д.11</w:t>
            </w:r>
          </w:p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адрес308513 Белгородская область, Белгородский район, с. Пушкарное, ул.Центральная,д.11</w:t>
            </w:r>
          </w:p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________</w:t>
            </w:r>
          </w:p>
          <w:p>
            <w:pPr>
              <w:widowControl w:val="0"/>
              <w:jc w:val="both"/>
            </w:pPr>
            <w:r>
              <w:t>ИНН_________-</w:t>
            </w:r>
          </w:p>
          <w:p>
            <w:pPr>
              <w:widowControl w:val="0"/>
              <w:jc w:val="both"/>
              <w:rPr>
                <w:color w:val="000000"/>
              </w:rPr>
            </w:pPr>
            <w:r>
              <w:t>КПП: __________</w:t>
            </w:r>
          </w:p>
          <w:p>
            <w:pPr>
              <w:widowControl w:val="0"/>
              <w:jc w:val="both"/>
            </w:pPr>
            <w:r>
              <w:t>Код по ОКТМО: __________</w:t>
            </w:r>
          </w:p>
          <w:p>
            <w:pPr>
              <w:widowControl w:val="0"/>
              <w:jc w:val="both"/>
            </w:pPr>
            <w:r>
              <w:t>Наименование банка: __________</w:t>
            </w:r>
          </w:p>
          <w:p>
            <w:pPr>
              <w:widowControl w:val="0"/>
              <w:jc w:val="both"/>
            </w:pPr>
            <w:r>
              <w:t>БИК банка: __________</w:t>
            </w:r>
          </w:p>
          <w:p>
            <w:pPr>
              <w:widowControl w:val="0"/>
              <w:jc w:val="both"/>
              <w:rPr>
                <w:color w:val="000000"/>
              </w:rPr>
            </w:pPr>
            <w:r>
              <w:t>Номер счета банка получателя средств(к/с): __________</w:t>
            </w:r>
          </w:p>
          <w:p>
            <w:pPr>
              <w:widowControl w:val="0"/>
              <w:jc w:val="both"/>
            </w:pPr>
            <w:r>
              <w:t>Номер счета получателя (р/с): ______</w:t>
            </w:r>
          </w:p>
          <w:p>
            <w:pPr>
              <w:widowControl w:val="0"/>
              <w:jc w:val="both"/>
              <w:rPr>
                <w:b/>
              </w:rPr>
            </w:pPr>
            <w:r>
              <w:t>КБК: __________</w:t>
            </w:r>
          </w:p>
        </w:tc>
        <w:tc>
          <w:tcPr>
            <w:tcW w:w="4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308503, Белгородская область, Белгородский района, п. Майский, </w:t>
            </w:r>
          </w:p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д. 6</w:t>
            </w:r>
          </w:p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308007, Белгородская обл., </w:t>
            </w:r>
          </w:p>
          <w:p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Белгород, ул. Шершнева, д. 1а</w:t>
            </w:r>
          </w:p>
          <w:p>
            <w:pPr>
              <w:widowControl w:val="0"/>
              <w:jc w:val="both"/>
            </w:pPr>
            <w:r>
              <w:t>ИНН: 3102003133</w:t>
            </w:r>
          </w:p>
          <w:p>
            <w:pPr>
              <w:widowControl w:val="0"/>
              <w:jc w:val="both"/>
              <w:rPr>
                <w:color w:val="000000"/>
              </w:rPr>
            </w:pPr>
            <w:r>
              <w:t xml:space="preserve">КПП: </w:t>
            </w:r>
            <w:r>
              <w:rPr>
                <w:color w:val="000000"/>
              </w:rPr>
              <w:t>310201001</w:t>
            </w:r>
          </w:p>
          <w:p>
            <w:pPr>
              <w:widowControl w:val="0"/>
              <w:jc w:val="both"/>
            </w:pPr>
            <w:r>
              <w:t>Код по ОКТМО: 14610450</w:t>
            </w:r>
          </w:p>
          <w:p>
            <w:pPr>
              <w:widowControl w:val="0"/>
              <w:jc w:val="both"/>
            </w:pPr>
          </w:p>
        </w:tc>
      </w:tr>
    </w:tbl>
    <w:p>
      <w:pPr>
        <w:rPr>
          <w:vanish/>
        </w:rPr>
      </w:pPr>
    </w:p>
    <w:tbl>
      <w:tblPr>
        <w:tblW w:w="9030" w:type="dxa"/>
        <w:tblLook w:val="01E0" w:firstRow="1" w:lastRow="1" w:firstColumn="1" w:lastColumn="1" w:noHBand="0" w:noVBand="0"/>
      </w:tblPr>
      <w:tblGrid>
        <w:gridCol w:w="4608"/>
        <w:gridCol w:w="462"/>
        <w:gridCol w:w="3960"/>
      </w:tblGrid>
      <w:tr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Глава Пушкарского сельского поселения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_________________________________</w:t>
            </w:r>
          </w:p>
          <w:p>
            <w:pPr>
              <w:rPr>
                <w:b/>
              </w:rPr>
            </w:pPr>
            <w:r>
              <w:rPr>
                <w:b/>
              </w:rPr>
              <w:t>______________ /_________/</w:t>
            </w:r>
          </w:p>
          <w:p>
            <w:r>
              <w:t>«__» ____________ 2024 г.  М.П.</w:t>
            </w:r>
          </w:p>
          <w:p/>
          <w:p/>
        </w:tc>
        <w:tc>
          <w:tcPr>
            <w:tcW w:w="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b/>
              </w:rPr>
            </w:pPr>
          </w:p>
        </w:tc>
        <w:tc>
          <w:tcPr>
            <w:tcW w:w="3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ind w:left="-250"/>
              <w:jc w:val="center"/>
              <w:rPr>
                <w:b/>
              </w:rPr>
            </w:pPr>
            <w:r>
              <w:rPr>
                <w:b/>
              </w:rPr>
              <w:t>Председатель Муниципального совета Белгородского района</w:t>
            </w:r>
          </w:p>
          <w:p>
            <w:pPr>
              <w:ind w:left="-1152"/>
              <w:rPr>
                <w:b/>
              </w:rPr>
            </w:pPr>
          </w:p>
          <w:p>
            <w:pPr>
              <w:ind w:left="-1152"/>
            </w:pPr>
            <w:r>
              <w:rPr>
                <w:b/>
              </w:rPr>
              <w:t>____________________________ /________/</w:t>
            </w:r>
          </w:p>
          <w:p>
            <w:pPr>
              <w:ind w:left="-1152"/>
            </w:pPr>
          </w:p>
          <w:p>
            <w:pPr>
              <w:ind w:left="-1152"/>
            </w:pPr>
            <w:r>
              <w:t>«__» _________________________ 2024 г. М.П.</w:t>
            </w:r>
          </w:p>
          <w:p>
            <w:pPr>
              <w:ind w:left="-1152"/>
              <w:rPr>
                <w:b/>
              </w:rPr>
            </w:pPr>
            <w:r>
              <w:t>М.П.</w:t>
            </w:r>
          </w:p>
        </w:tc>
      </w:tr>
    </w:tbl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p>
      <w:pPr>
        <w:rPr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6186"/>
      </w:tblGrid>
      <w:tr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 w:after="200"/>
              <w:rPr>
                <w:rFonts w:ascii="Calibri" w:eastAsia="Calibri" w:hAnsi="Calibri"/>
                <w:b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61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jc w:val="both"/>
            </w:pPr>
            <w:r>
              <w:rPr>
                <w:rFonts w:eastAsia="Calibri"/>
                <w:lang w:eastAsia="en-US"/>
              </w:rPr>
              <w:t>Приложение к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Соглашению </w:t>
            </w:r>
            <w:r>
              <w:t>от «__»__________ 2024 г. №_ /___ /___ о передаче Контрольно-счетной комиссии Белгородского района полномочий контрольно-счетной комиссии __________  поселения по осуществлению внешнего муниципального финансового контроля</w:t>
            </w:r>
          </w:p>
          <w:p>
            <w:pPr>
              <w:jc w:val="both"/>
            </w:pPr>
          </w:p>
          <w:p>
            <w:pPr>
              <w:jc w:val="right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b/>
                <w:bCs/>
              </w:rPr>
              <w:t xml:space="preserve"> «ФОРМА»</w:t>
            </w:r>
          </w:p>
          <w:p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>
      <w:pPr>
        <w:widowControl w:val="0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 xml:space="preserve">                                                       Отчет</w:t>
      </w:r>
    </w:p>
    <w:p>
      <w:pPr>
        <w:jc w:val="center"/>
        <w:rPr>
          <w:b/>
          <w:bCs/>
          <w:sz w:val="27"/>
          <w:szCs w:val="27"/>
        </w:rPr>
      </w:pPr>
      <w:r>
        <w:rPr>
          <w:b/>
          <w:spacing w:val="5"/>
          <w:sz w:val="27"/>
          <w:szCs w:val="27"/>
        </w:rPr>
        <w:t xml:space="preserve">об использовании межбюджетных трансфертов, </w:t>
      </w:r>
      <w:r>
        <w:rPr>
          <w:b/>
          <w:bCs/>
          <w:sz w:val="27"/>
          <w:szCs w:val="27"/>
        </w:rPr>
        <w:t xml:space="preserve">предоставляемых 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7"/>
          <w:szCs w:val="27"/>
        </w:rPr>
        <w:t xml:space="preserve">из бюджета городского (сельского) поселения _________________ бюджету муниципального района «Белгородский район» Белгородской области на осуществление </w:t>
      </w:r>
      <w:r>
        <w:rPr>
          <w:b/>
          <w:spacing w:val="5"/>
          <w:sz w:val="26"/>
          <w:szCs w:val="26"/>
        </w:rPr>
        <w:t>Контрольно-счетной комиссией Белгородского района полномочий контрольно-счетной комиссии  _____________ поселения на</w:t>
      </w:r>
      <w:r>
        <w:rPr>
          <w:b/>
          <w:sz w:val="26"/>
          <w:szCs w:val="26"/>
        </w:rPr>
        <w:t xml:space="preserve"> осуществление внешнего муниципального финансового контроля</w:t>
      </w:r>
    </w:p>
    <w:p>
      <w:pPr>
        <w:jc w:val="center"/>
        <w:rPr>
          <w:b/>
          <w:sz w:val="27"/>
          <w:szCs w:val="27"/>
        </w:rPr>
      </w:pPr>
    </w:p>
    <w:p>
      <w:pPr>
        <w:rPr>
          <w:sz w:val="27"/>
          <w:szCs w:val="27"/>
        </w:rPr>
      </w:pPr>
      <w:r>
        <w:rPr>
          <w:caps/>
          <w:sz w:val="27"/>
          <w:szCs w:val="27"/>
        </w:rPr>
        <w:t>П</w:t>
      </w:r>
      <w:r>
        <w:rPr>
          <w:sz w:val="27"/>
          <w:szCs w:val="27"/>
        </w:rPr>
        <w:t xml:space="preserve">ериодичность: годовой    </w:t>
      </w:r>
    </w:p>
    <w:p>
      <w:pPr>
        <w:widowControl w:val="0"/>
        <w:spacing w:line="36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Единица измерения: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>
        <w:trPr>
          <w:trHeight w:val="485"/>
        </w:trPr>
        <w:tc>
          <w:tcPr>
            <w:tcW w:w="9344" w:type="dxa"/>
            <w:gridSpan w:val="2"/>
          </w:tcPr>
          <w:p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Поступило МБТ из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 xml:space="preserve">бюджета ______ поселения _________________  бюджету муниципального района «Белгородский район» Белгородской области </w:t>
            </w:r>
          </w:p>
        </w:tc>
      </w:tr>
      <w:tr>
        <w:trPr>
          <w:trHeight w:val="819"/>
        </w:trPr>
        <w:tc>
          <w:tcPr>
            <w:tcW w:w="4672" w:type="dxa"/>
          </w:tcPr>
          <w:p>
            <w:pPr>
              <w:jc w:val="center"/>
              <w:rPr>
                <w:rFonts w:eastAsia="Calibri"/>
                <w:spacing w:val="5"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№ и дата Соглашения</w:t>
            </w:r>
          </w:p>
          <w:p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spacing w:val="5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умма, руб.</w:t>
            </w:r>
          </w:p>
        </w:tc>
      </w:tr>
      <w:tr>
        <w:tc>
          <w:tcPr>
            <w:tcW w:w="4672" w:type="dxa"/>
          </w:tcPr>
          <w:p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672" w:type="dxa"/>
          </w:tcPr>
          <w:p>
            <w:pPr>
              <w:spacing w:line="276" w:lineRule="auto"/>
              <w:rPr>
                <w:rFonts w:eastAsia="Calibri"/>
                <w:caps/>
                <w:lang w:eastAsia="en-US"/>
              </w:rPr>
            </w:pPr>
          </w:p>
        </w:tc>
      </w:tr>
      <w:tr>
        <w:tc>
          <w:tcPr>
            <w:tcW w:w="4672" w:type="dxa"/>
          </w:tcPr>
          <w:p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4672" w:type="dxa"/>
          </w:tcPr>
          <w:p>
            <w:pPr>
              <w:spacing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0,00</w:t>
            </w:r>
          </w:p>
        </w:tc>
      </w:tr>
    </w:tbl>
    <w:p>
      <w:pPr>
        <w:widowControl w:val="0"/>
        <w:spacing w:line="360" w:lineRule="atLeast"/>
        <w:jc w:val="both"/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>
        <w:trPr>
          <w:trHeight w:val="866"/>
        </w:trPr>
        <w:tc>
          <w:tcPr>
            <w:tcW w:w="9344" w:type="dxa"/>
            <w:gridSpan w:val="3"/>
          </w:tcPr>
          <w:p>
            <w:pPr>
              <w:jc w:val="center"/>
              <w:rPr>
                <w:rFonts w:eastAsia="Calibri"/>
                <w:b/>
                <w:caps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>К</w:t>
            </w:r>
            <w:r>
              <w:rPr>
                <w:rFonts w:eastAsia="Calibri"/>
                <w:b/>
                <w:lang w:eastAsia="en-US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>
        <w:trPr>
          <w:trHeight w:val="451"/>
        </w:trPr>
        <w:tc>
          <w:tcPr>
            <w:tcW w:w="675" w:type="dxa"/>
          </w:tcPr>
          <w:p>
            <w:pPr>
              <w:spacing w:after="200" w:line="276" w:lineRule="auto"/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 xml:space="preserve">№ 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 xml:space="preserve">КБК </w:t>
            </w:r>
            <w:r>
              <w:rPr>
                <w:rFonts w:eastAsia="Calibri"/>
                <w:lang w:eastAsia="en-US"/>
              </w:rPr>
              <w:t>расходов</w:t>
            </w:r>
          </w:p>
        </w:tc>
        <w:tc>
          <w:tcPr>
            <w:tcW w:w="4417" w:type="dxa"/>
          </w:tcPr>
          <w:p>
            <w:pPr>
              <w:jc w:val="center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lang w:eastAsia="en-US"/>
              </w:rPr>
              <w:t>Сумма фактически выполненных работ, руб.</w:t>
            </w:r>
          </w:p>
        </w:tc>
      </w:tr>
      <w:tr>
        <w:tc>
          <w:tcPr>
            <w:tcW w:w="675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252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4417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>
      <w:pPr>
        <w:widowControl w:val="0"/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>
        <w:trPr>
          <w:trHeight w:val="491"/>
        </w:trPr>
        <w:tc>
          <w:tcPr>
            <w:tcW w:w="9344" w:type="dxa"/>
            <w:gridSpan w:val="3"/>
          </w:tcPr>
          <w:p>
            <w:pPr>
              <w:pStyle w:val="1"/>
              <w:spacing w:before="0" w:after="0"/>
              <w:jc w:val="center"/>
              <w:rPr>
                <w:rStyle w:val="aff0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контрольных и экспертно-аналитических мероприятий</w:t>
            </w:r>
          </w:p>
        </w:tc>
      </w:tr>
      <w:tr>
        <w:trPr>
          <w:trHeight w:val="216"/>
        </w:trPr>
        <w:tc>
          <w:tcPr>
            <w:tcW w:w="675" w:type="dxa"/>
          </w:tcPr>
          <w:p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17" w:type="dxa"/>
          </w:tcPr>
          <w:p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количество</w:t>
            </w:r>
          </w:p>
        </w:tc>
      </w:tr>
      <w:tr>
        <w:trPr>
          <w:trHeight w:val="351"/>
        </w:trPr>
        <w:tc>
          <w:tcPr>
            <w:tcW w:w="675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1</w:t>
            </w:r>
          </w:p>
        </w:tc>
        <w:tc>
          <w:tcPr>
            <w:tcW w:w="4252" w:type="dxa"/>
          </w:tcPr>
          <w:p>
            <w:pPr>
              <w:pStyle w:val="1"/>
              <w:spacing w:before="0" w:after="0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Контрольных мероприятий</w:t>
            </w:r>
          </w:p>
        </w:tc>
        <w:tc>
          <w:tcPr>
            <w:tcW w:w="4417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  <w:tr>
        <w:tc>
          <w:tcPr>
            <w:tcW w:w="675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2</w:t>
            </w:r>
          </w:p>
        </w:tc>
        <w:tc>
          <w:tcPr>
            <w:tcW w:w="4252" w:type="dxa"/>
          </w:tcPr>
          <w:p>
            <w:pPr>
              <w:spacing w:line="276" w:lineRule="auto"/>
              <w:rPr>
                <w:rFonts w:eastAsia="Calibri"/>
                <w:caps/>
                <w:lang w:eastAsia="en-US"/>
              </w:rPr>
            </w:pPr>
            <w:r>
              <w:rPr>
                <w:rFonts w:eastAsia="Calibri"/>
                <w:caps/>
                <w:lang w:eastAsia="en-US"/>
              </w:rPr>
              <w:t>Э</w:t>
            </w:r>
            <w:r>
              <w:rPr>
                <w:rFonts w:eastAsia="Calibri"/>
                <w:lang w:eastAsia="en-US"/>
              </w:rPr>
              <w:t>кспертно-аналитических мероприятий</w:t>
            </w:r>
          </w:p>
        </w:tc>
        <w:tc>
          <w:tcPr>
            <w:tcW w:w="4417" w:type="dxa"/>
          </w:tcPr>
          <w:p>
            <w:pPr>
              <w:spacing w:after="200" w:line="276" w:lineRule="auto"/>
              <w:rPr>
                <w:rFonts w:eastAsia="Calibri"/>
                <w:caps/>
                <w:lang w:eastAsia="en-US"/>
              </w:rPr>
            </w:pPr>
          </w:p>
        </w:tc>
      </w:tr>
    </w:tbl>
    <w:p>
      <w:pPr>
        <w:ind w:left="4333" w:firstLine="708"/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sz w:val="27"/>
          <w:szCs w:val="27"/>
        </w:rPr>
      </w:pPr>
      <w:r>
        <w:rPr>
          <w:b/>
          <w:caps/>
          <w:sz w:val="28"/>
          <w:szCs w:val="28"/>
        </w:rPr>
        <w:t xml:space="preserve">                 </w:t>
      </w:r>
      <w:r>
        <w:rPr>
          <w:b/>
          <w:caps/>
          <w:sz w:val="27"/>
          <w:szCs w:val="27"/>
        </w:rPr>
        <w:t>УТВЕРЖДЕН</w:t>
      </w:r>
    </w:p>
    <w:p>
      <w:pPr>
        <w:ind w:left="504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решением земского собрания Пушкарского сельского поселения </w:t>
      </w:r>
    </w:p>
    <w:p>
      <w:pPr>
        <w:ind w:left="5041"/>
        <w:rPr>
          <w:b/>
          <w:sz w:val="27"/>
          <w:szCs w:val="27"/>
        </w:rPr>
      </w:pPr>
      <w:r>
        <w:rPr>
          <w:b/>
          <w:sz w:val="27"/>
          <w:szCs w:val="27"/>
        </w:rPr>
        <w:t>от  «29» октября 2024 г. № 67</w:t>
      </w:r>
    </w:p>
    <w:p>
      <w:pPr>
        <w:jc w:val="center"/>
        <w:rPr>
          <w:b/>
          <w:sz w:val="27"/>
          <w:szCs w:val="27"/>
        </w:rPr>
      </w:pPr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Порядок и условия </w:t>
      </w:r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предоставления межбюджетных трансфертов, предоставляемых                                из бюджета Пушкарского сельского поселения бюджету муниципального района «Белгородский район» Белгородской области  на осуществление полномочий сельского поселения </w:t>
      </w:r>
      <w:r>
        <w:rPr>
          <w:b/>
          <w:bCs/>
          <w:sz w:val="27"/>
          <w:szCs w:val="27"/>
        </w:rPr>
        <w:t xml:space="preserve">по осуществлению </w:t>
      </w:r>
      <w:r>
        <w:rPr>
          <w:b/>
          <w:sz w:val="27"/>
          <w:szCs w:val="27"/>
        </w:rPr>
        <w:t>внешнего муниципального финансового контроля</w:t>
      </w:r>
    </w:p>
    <w:p>
      <w:pPr>
        <w:jc w:val="center"/>
        <w:rPr>
          <w:b/>
          <w:sz w:val="28"/>
          <w:szCs w:val="28"/>
        </w:rPr>
      </w:pP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Настоящий Порядок и условия предоставления межбюджетных трансфертов, предоставляемых из бюджета Пушкарского сельского поселения Белгородского района бюджету муниципального района «Белгородский район» Белгородской области на осуществление полномочий </w:t>
      </w:r>
      <w:r>
        <w:rPr>
          <w:bCs/>
          <w:sz w:val="27"/>
          <w:szCs w:val="27"/>
        </w:rPr>
        <w:t>поселения</w:t>
      </w:r>
      <w:r>
        <w:rPr>
          <w:sz w:val="27"/>
          <w:szCs w:val="27"/>
        </w:rPr>
        <w:t xml:space="preserve"> по осуществлению внешнего муниципального финансового контроля (далее - Порядок) устанавливает порядок определения объема межбюджетных трансфертов, предоставляемых</w:t>
      </w:r>
      <w:r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из бюджета  сельского поселения Белгородского района бюджету муниципального района «Белгородский район» Белгородской области по осуществлению внешнего муниципального финансового контроля.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о передаче Контрольно-счетной комиссии Белгородского района полномочий контрольно-счетной комиссии Пушкарского </w:t>
      </w:r>
      <w:r>
        <w:rPr>
          <w:bCs/>
          <w:sz w:val="27"/>
          <w:szCs w:val="27"/>
        </w:rPr>
        <w:t>сельского поселения</w:t>
      </w:r>
      <w:r>
        <w:rPr>
          <w:sz w:val="27"/>
          <w:szCs w:val="27"/>
        </w:rPr>
        <w:t xml:space="preserve"> по осуществлению внешнего муниципального финансового контроля.</w:t>
      </w:r>
    </w:p>
    <w:p>
      <w:pPr>
        <w:widowControl w:val="0"/>
        <w:tabs>
          <w:tab w:val="left" w:pos="567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Размер межбюджетных трансфертов определяется в соответствии                    с Методикой расчета межбюджетных трансфертов, </w:t>
      </w:r>
      <w:r>
        <w:rPr>
          <w:bCs/>
          <w:sz w:val="27"/>
          <w:szCs w:val="27"/>
        </w:rPr>
        <w:t xml:space="preserve">предоставляемых                               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из бюджета  сельского поселения бюджету муниципального района «Белгородский район» Белгородской области на осуществление полномочий Контрольно-счетной комиссии </w:t>
      </w:r>
      <w:r>
        <w:rPr>
          <w:bCs/>
          <w:sz w:val="27"/>
          <w:szCs w:val="27"/>
        </w:rPr>
        <w:t>поселения</w:t>
      </w:r>
      <w:r>
        <w:rPr>
          <w:sz w:val="27"/>
          <w:szCs w:val="27"/>
        </w:rPr>
        <w:t xml:space="preserve">  по осуществлению внешнего муниципального финансового контроля.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Межбюджетные трансферты равными частями ежеквартально, не позднее 20-го числа месяца, следующего за отчетным периодом, перечисляются                          из бюджетов городских и сельских поселений Белгородского района в бюджет муниципального района «Белгородский район» Белгородской области                              в соответствии с утвержденной методикой. В последний квартал текущего года перечисление производится до 20 декабря текущего года.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Контрольно-счетная комиссия Белгородского района ежегодно,                         не позднее 20-го числа месяца, следующего за отчетным периодом, направляет                  в администрацию  сельского поселения отчет о расходах бюджета муниципального района «Белгородский район» Белгородской области, источником финансового обеспечения которых являются межбюджетные трансферты, предоставленные бюджетом  сельского поселения.</w:t>
      </w:r>
    </w:p>
    <w:p>
      <w:pPr>
        <w:widowControl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 Контрольно-счетная комиссия Белгородского района несет ответственность за нецелевое использование межбюджетных трансфертов                        и достоверность отчетности, представляемой в соответствии с пунктом                      5 настоящего Порядка.</w:t>
      </w:r>
    </w:p>
    <w:p>
      <w:pPr>
        <w:widowControl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При установлении отсутствия потребности </w:t>
      </w:r>
      <w:r>
        <w:rPr>
          <w:sz w:val="27"/>
          <w:szCs w:val="27"/>
        </w:rPr>
        <w:t xml:space="preserve">муниципального района «Белгородский район» Белгородской области </w:t>
      </w:r>
      <w:r>
        <w:rPr>
          <w:color w:val="000000"/>
          <w:sz w:val="27"/>
          <w:szCs w:val="27"/>
        </w:rPr>
        <w:t>в межбюджетных трансфертах,                    их остаток подлежит возврату в доход бюджета поселения.</w:t>
      </w:r>
    </w:p>
    <w:p>
      <w:pPr>
        <w:widowControl w:val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8. В случае невыполнения сельским поселением обязательств по предоставлению </w:t>
      </w:r>
      <w:r>
        <w:rPr>
          <w:sz w:val="27"/>
          <w:szCs w:val="27"/>
        </w:rPr>
        <w:t>межбюджетных трансфертов</w:t>
      </w:r>
      <w:r>
        <w:rPr>
          <w:color w:val="000000"/>
          <w:sz w:val="27"/>
          <w:szCs w:val="27"/>
        </w:rPr>
        <w:t xml:space="preserve">  бюджету муниципального района, Контрольно-счетная комиссия </w:t>
      </w:r>
      <w:r>
        <w:rPr>
          <w:sz w:val="27"/>
          <w:szCs w:val="27"/>
        </w:rPr>
        <w:t xml:space="preserve">осуществляет взыскание </w:t>
      </w:r>
      <w:r>
        <w:rPr>
          <w:color w:val="000000"/>
          <w:sz w:val="27"/>
          <w:szCs w:val="27"/>
        </w:rPr>
        <w:t xml:space="preserve">недополученной суммы </w:t>
      </w:r>
      <w:r>
        <w:rPr>
          <w:sz w:val="27"/>
          <w:szCs w:val="27"/>
        </w:rPr>
        <w:t>межбюджетных трансфертов</w:t>
      </w:r>
      <w:r>
        <w:rPr>
          <w:color w:val="000000"/>
          <w:sz w:val="27"/>
          <w:szCs w:val="27"/>
        </w:rPr>
        <w:t xml:space="preserve"> за счет доходов 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поселения, в порядке, установленном комитетом финансов и бюджетной политики администрации Белгородского района </w:t>
      </w:r>
      <w:r>
        <w:rPr>
          <w:sz w:val="27"/>
          <w:szCs w:val="27"/>
        </w:rPr>
        <w:t>с учетом общих требований, установленных Министерством финансов Российской Федерации</w:t>
      </w:r>
      <w:r>
        <w:rPr>
          <w:color w:val="000000"/>
          <w:sz w:val="27"/>
          <w:szCs w:val="27"/>
        </w:rPr>
        <w:t>.</w:t>
      </w:r>
    </w:p>
    <w:p>
      <w:pPr>
        <w:pStyle w:val="af9"/>
        <w:spacing w:beforeAutospacing="0" w:after="0" w:afterAutospacing="0"/>
        <w:rPr>
          <w:sz w:val="27"/>
          <w:szCs w:val="27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bCs/>
          <w:caps/>
          <w:sz w:val="28"/>
          <w:szCs w:val="28"/>
        </w:rPr>
      </w:pPr>
    </w:p>
    <w:p>
      <w:pPr>
        <w:ind w:left="4333" w:firstLine="708"/>
        <w:rPr>
          <w:b/>
          <w:caps/>
          <w:sz w:val="28"/>
          <w:szCs w:val="28"/>
        </w:rPr>
      </w:pPr>
    </w:p>
    <w:p>
      <w:pPr>
        <w:ind w:left="4333" w:firstLine="708"/>
        <w:rPr>
          <w:sz w:val="28"/>
          <w:szCs w:val="28"/>
        </w:rPr>
      </w:pPr>
      <w:r>
        <w:lastRenderedPageBreak/>
        <w:t xml:space="preserve">              </w:t>
      </w:r>
      <w:r>
        <w:rPr>
          <w:b/>
          <w:caps/>
          <w:sz w:val="28"/>
          <w:szCs w:val="28"/>
        </w:rPr>
        <w:t>УТВЕРЖДЕНА</w:t>
      </w:r>
    </w:p>
    <w:p>
      <w:pPr>
        <w:ind w:left="50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земского собрания Пушкарского сельского поселения</w:t>
      </w:r>
    </w:p>
    <w:p>
      <w:pPr>
        <w:ind w:left="50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«29» октября 2024 г. № 67</w:t>
      </w:r>
    </w:p>
    <w:p>
      <w:pPr>
        <w:ind w:left="5041"/>
        <w:rPr>
          <w:b/>
        </w:rPr>
      </w:pPr>
    </w:p>
    <w:p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методика 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расчета межбюджетных трансфертов, </w:t>
      </w:r>
      <w:r>
        <w:rPr>
          <w:b/>
          <w:bCs/>
          <w:sz w:val="26"/>
          <w:szCs w:val="26"/>
        </w:rPr>
        <w:t xml:space="preserve">предоставляемых </w:t>
      </w:r>
      <w:r>
        <w:rPr>
          <w:b/>
          <w:sz w:val="26"/>
          <w:szCs w:val="26"/>
        </w:rPr>
        <w:t xml:space="preserve">из бюджета Пушкарского сельского поселения бюджету муниципального района «Белгородский район» Белгородской области на осуществление полномочий Контрольно-счётной комиссии </w:t>
      </w:r>
      <w:r>
        <w:rPr>
          <w:b/>
          <w:bCs/>
          <w:sz w:val="26"/>
          <w:szCs w:val="26"/>
        </w:rPr>
        <w:t xml:space="preserve">поселения </w:t>
      </w:r>
      <w:r>
        <w:rPr>
          <w:b/>
          <w:sz w:val="26"/>
          <w:szCs w:val="26"/>
        </w:rPr>
        <w:t>по осуществлению внешнего муниципального финансового контроля</w:t>
      </w:r>
    </w:p>
    <w:p>
      <w:pPr>
        <w:jc w:val="center"/>
        <w:rPr>
          <w:sz w:val="28"/>
          <w:szCs w:val="28"/>
        </w:rPr>
      </w:pPr>
    </w:p>
    <w:p>
      <w:pPr>
        <w:shd w:val="clear" w:color="auto" w:fill="FFFFFF"/>
        <w:spacing w:line="320" w:lineRule="exact"/>
        <w:ind w:right="29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Объем средств на оплату труда (с начислениями) работников в год, непосредственно осуществляющих полномочия, рассчитывается по формуле:</w:t>
      </w:r>
    </w:p>
    <w:p>
      <w:pP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S</w:t>
      </w:r>
      <w:r>
        <w:rPr>
          <w:b/>
          <w:color w:val="000000"/>
          <w:sz w:val="26"/>
          <w:szCs w:val="26"/>
        </w:rPr>
        <w:t xml:space="preserve">мбт = N * </w:t>
      </w:r>
      <w:r>
        <w:rPr>
          <w:b/>
          <w:color w:val="000000"/>
          <w:sz w:val="26"/>
          <w:szCs w:val="26"/>
          <w:lang w:val="en-US"/>
        </w:rPr>
        <w:t>S</w:t>
      </w:r>
      <w:r>
        <w:rPr>
          <w:b/>
          <w:color w:val="000000"/>
          <w:sz w:val="26"/>
          <w:szCs w:val="26"/>
        </w:rPr>
        <w:t>ба</w:t>
      </w:r>
      <w:r>
        <w:rPr>
          <w:color w:val="000000"/>
          <w:sz w:val="26"/>
          <w:szCs w:val="26"/>
        </w:rPr>
        <w:t>,</w:t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  <w:lang w:val="en-US"/>
        </w:rPr>
        <w:t>S</w:t>
      </w:r>
      <w:r>
        <w:rPr>
          <w:b/>
          <w:color w:val="000000"/>
          <w:sz w:val="26"/>
          <w:szCs w:val="26"/>
        </w:rPr>
        <w:t>мбт</w:t>
      </w:r>
      <w:r>
        <w:rPr>
          <w:color w:val="000000"/>
          <w:sz w:val="26"/>
          <w:szCs w:val="26"/>
        </w:rPr>
        <w:t xml:space="preserve"> – </w:t>
      </w:r>
      <w:r>
        <w:rPr>
          <w:sz w:val="26"/>
          <w:szCs w:val="26"/>
        </w:rPr>
        <w:t>размер межбюджетных трансфертов на осуществление полномочий поселений</w:t>
      </w:r>
      <w:r>
        <w:rPr>
          <w:color w:val="000000"/>
          <w:sz w:val="26"/>
          <w:szCs w:val="26"/>
        </w:rPr>
        <w:t xml:space="preserve"> на осуществление внешнего муниципального финансового контроля в год;</w:t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  <w:lang w:val="en-US"/>
        </w:rPr>
        <w:t>S</w:t>
      </w:r>
      <w:r>
        <w:rPr>
          <w:b/>
          <w:color w:val="000000"/>
          <w:sz w:val="26"/>
          <w:szCs w:val="26"/>
        </w:rPr>
        <w:t>ба</w:t>
      </w:r>
      <w:r>
        <w:rPr>
          <w:color w:val="000000"/>
          <w:sz w:val="26"/>
          <w:szCs w:val="26"/>
        </w:rPr>
        <w:t xml:space="preserve"> – сумма бюджетных ассигнований по городским/сельским поселениям по состоянию на 01.08.2024 года составляет 1 421 623 387 рублей 51 коп.;</w:t>
      </w:r>
    </w:p>
    <w:p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 xml:space="preserve">N </w:t>
      </w:r>
      <w:r>
        <w:rPr>
          <w:color w:val="000000"/>
          <w:sz w:val="26"/>
          <w:szCs w:val="26"/>
        </w:rPr>
        <w:t xml:space="preserve">– норматив финансовых затрат в год на финансирование расходов на осуществление внешнего муниципального финансового контроля, определяется по формуле:                                             </w:t>
      </w:r>
      <w:r>
        <w:rPr>
          <w:b/>
          <w:color w:val="000000"/>
          <w:sz w:val="26"/>
          <w:szCs w:val="26"/>
        </w:rPr>
        <w:t xml:space="preserve">N = </w:t>
      </w:r>
      <w:r>
        <w:rPr>
          <w:b/>
          <w:color w:val="000000"/>
          <w:sz w:val="26"/>
          <w:szCs w:val="26"/>
          <w:lang w:val="en-US"/>
        </w:rPr>
        <w:t>S</w:t>
      </w:r>
      <w:r>
        <w:rPr>
          <w:b/>
          <w:color w:val="000000"/>
          <w:sz w:val="26"/>
          <w:szCs w:val="26"/>
        </w:rPr>
        <w:t>оп/</w:t>
      </w:r>
      <w:r>
        <w:rPr>
          <w:b/>
          <w:color w:val="000000"/>
          <w:sz w:val="26"/>
          <w:szCs w:val="26"/>
          <w:lang w:val="en-US"/>
        </w:rPr>
        <w:t>S</w:t>
      </w:r>
      <w:r>
        <w:rPr>
          <w:b/>
          <w:color w:val="000000"/>
          <w:sz w:val="26"/>
          <w:szCs w:val="26"/>
        </w:rPr>
        <w:t>ба</w:t>
      </w:r>
      <w:r>
        <w:rPr>
          <w:color w:val="000000"/>
          <w:sz w:val="26"/>
          <w:szCs w:val="26"/>
        </w:rPr>
        <w:t>,</w:t>
      </w:r>
    </w:p>
    <w:p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  <w:lang w:val="en-US"/>
        </w:rPr>
        <w:t>S</w:t>
      </w:r>
      <w:r>
        <w:rPr>
          <w:b/>
          <w:color w:val="000000"/>
          <w:sz w:val="26"/>
          <w:szCs w:val="26"/>
        </w:rPr>
        <w:t>оп</w:t>
      </w:r>
      <w:r>
        <w:rPr>
          <w:color w:val="000000"/>
          <w:sz w:val="26"/>
          <w:szCs w:val="26"/>
        </w:rPr>
        <w:t xml:space="preserve"> – </w:t>
      </w:r>
      <w:r>
        <w:rPr>
          <w:sz w:val="26"/>
          <w:szCs w:val="26"/>
        </w:rPr>
        <w:t>сумма расходов на содержание в год работников, непосредственно осуществляющих полномочия, определяется по формуле</w:t>
      </w:r>
      <w:r>
        <w:rPr>
          <w:color w:val="000000"/>
          <w:sz w:val="26"/>
          <w:szCs w:val="26"/>
        </w:rPr>
        <w:t>;</w:t>
      </w:r>
    </w:p>
    <w:p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S</w:t>
      </w:r>
      <w:r>
        <w:rPr>
          <w:b/>
          <w:color w:val="000000"/>
          <w:sz w:val="26"/>
          <w:szCs w:val="26"/>
        </w:rPr>
        <w:t>оп</w:t>
      </w:r>
      <w:r>
        <w:rPr>
          <w:color w:val="000000"/>
          <w:sz w:val="26"/>
          <w:szCs w:val="26"/>
        </w:rPr>
        <w:t xml:space="preserve"> = </w:t>
      </w:r>
      <w:r>
        <w:rPr>
          <w:b/>
          <w:color w:val="000000"/>
          <w:sz w:val="26"/>
          <w:szCs w:val="26"/>
        </w:rPr>
        <w:t>(Сот+Смз),</w:t>
      </w:r>
    </w:p>
    <w:p>
      <w:pPr>
        <w:ind w:firstLine="709"/>
        <w:jc w:val="both"/>
        <w:rPr>
          <w:spacing w:val="-1"/>
          <w:sz w:val="26"/>
          <w:szCs w:val="26"/>
        </w:rPr>
      </w:pPr>
      <w:r>
        <w:rPr>
          <w:b/>
          <w:color w:val="000000"/>
          <w:sz w:val="26"/>
          <w:szCs w:val="26"/>
        </w:rPr>
        <w:t>Сот</w:t>
      </w:r>
      <w:r>
        <w:rPr>
          <w:color w:val="000000"/>
          <w:sz w:val="26"/>
          <w:szCs w:val="26"/>
        </w:rPr>
        <w:t xml:space="preserve"> – </w:t>
      </w:r>
      <w:r>
        <w:rPr>
          <w:spacing w:val="-1"/>
          <w:sz w:val="26"/>
          <w:szCs w:val="26"/>
        </w:rPr>
        <w:t xml:space="preserve">оплата труда с начислениями </w:t>
      </w:r>
      <w:r>
        <w:rPr>
          <w:color w:val="333333"/>
          <w:sz w:val="26"/>
          <w:szCs w:val="26"/>
          <w:shd w:val="clear" w:color="auto" w:fill="FFFFFF"/>
        </w:rPr>
        <w:t>страховых взносов </w:t>
      </w:r>
      <w:r>
        <w:rPr>
          <w:bCs/>
          <w:color w:val="333333"/>
          <w:sz w:val="26"/>
          <w:szCs w:val="26"/>
          <w:shd w:val="clear" w:color="auto" w:fill="FFFFFF"/>
        </w:rPr>
        <w:t>во внебюджетные</w:t>
      </w:r>
      <w:r>
        <w:rPr>
          <w:color w:val="333333"/>
          <w:sz w:val="26"/>
          <w:szCs w:val="26"/>
          <w:shd w:val="clear" w:color="auto" w:fill="FFFFFF"/>
        </w:rPr>
        <w:t> </w:t>
      </w:r>
      <w:r>
        <w:rPr>
          <w:bCs/>
          <w:color w:val="333333"/>
          <w:sz w:val="26"/>
          <w:szCs w:val="26"/>
          <w:shd w:val="clear" w:color="auto" w:fill="FFFFFF"/>
        </w:rPr>
        <w:t>фонды</w:t>
      </w:r>
      <w:r>
        <w:rPr>
          <w:spacing w:val="-1"/>
          <w:sz w:val="26"/>
          <w:szCs w:val="26"/>
        </w:rPr>
        <w:t>;</w:t>
      </w:r>
    </w:p>
    <w:p>
      <w:pPr>
        <w:ind w:firstLine="709"/>
        <w:jc w:val="both"/>
        <w:rPr>
          <w:spacing w:val="-1"/>
          <w:sz w:val="26"/>
          <w:szCs w:val="26"/>
        </w:rPr>
      </w:pPr>
      <w:r>
        <w:rPr>
          <w:b/>
          <w:color w:val="000000"/>
          <w:sz w:val="26"/>
          <w:szCs w:val="26"/>
        </w:rPr>
        <w:t>Смз</w:t>
      </w:r>
      <w:r>
        <w:rPr>
          <w:color w:val="000000"/>
          <w:sz w:val="26"/>
          <w:szCs w:val="26"/>
        </w:rPr>
        <w:t xml:space="preserve"> – материальные затраты;</w:t>
      </w:r>
    </w:p>
    <w:p>
      <w:pPr>
        <w:jc w:val="center"/>
        <w:rPr>
          <w:rFonts w:ascii="Calibri" w:eastAsia="Calibri" w:hAnsi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Sоп =  2</w:t>
      </w:r>
      <w:r>
        <w:rPr>
          <w:rFonts w:eastAsia="Calibri"/>
          <w:b/>
          <w:sz w:val="26"/>
          <w:szCs w:val="26"/>
          <w:lang w:val="en-US" w:eastAsia="en-US"/>
        </w:rPr>
        <w:t> </w:t>
      </w:r>
      <w:r>
        <w:rPr>
          <w:rFonts w:eastAsia="Calibri"/>
          <w:b/>
          <w:sz w:val="26"/>
          <w:szCs w:val="26"/>
          <w:lang w:eastAsia="en-US"/>
        </w:rPr>
        <w:t>004,0 тыс. рублей.</w:t>
      </w:r>
    </w:p>
    <w:p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                                        Смз = 37,0 тыс. рублей.</w:t>
      </w:r>
    </w:p>
    <w:p>
      <w:pPr>
        <w:ind w:left="1416" w:firstLine="708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       Сот = 1 967,0 тыс. рублей.</w:t>
      </w:r>
    </w:p>
    <w:p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N = </w:t>
      </w:r>
      <w:r>
        <w:rPr>
          <w:b/>
          <w:color w:val="000000"/>
          <w:sz w:val="26"/>
          <w:szCs w:val="26"/>
          <w:lang w:val="en-US"/>
        </w:rPr>
        <w:t>S</w:t>
      </w:r>
      <w:r>
        <w:rPr>
          <w:b/>
          <w:color w:val="000000"/>
          <w:sz w:val="26"/>
          <w:szCs w:val="26"/>
        </w:rPr>
        <w:t>оп/</w:t>
      </w:r>
      <w:r>
        <w:rPr>
          <w:b/>
          <w:color w:val="000000"/>
          <w:sz w:val="26"/>
          <w:szCs w:val="26"/>
          <w:lang w:val="en-US"/>
        </w:rPr>
        <w:t>S</w:t>
      </w:r>
      <w:r>
        <w:rPr>
          <w:b/>
          <w:color w:val="000000"/>
          <w:sz w:val="26"/>
          <w:szCs w:val="26"/>
        </w:rPr>
        <w:t>ба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= 2 004,0 тыс. рублей /1 421 623,4 тыс. рублей = 0,0014.</w:t>
      </w:r>
    </w:p>
    <w:p>
      <w:pPr>
        <w:jc w:val="center"/>
        <w:rPr>
          <w:b/>
          <w:color w:val="000000"/>
          <w:sz w:val="28"/>
          <w:szCs w:val="28"/>
        </w:rPr>
      </w:pPr>
    </w:p>
    <w:p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Расчет размера межбюджетных трансфертов на осуществление полномочий поселения по осуществлению внешнего муниципального финансового контроля на 2025 год рассчитывается по формуле: </w:t>
      </w:r>
    </w:p>
    <w:p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S</w:t>
      </w:r>
      <w:r>
        <w:rPr>
          <w:b/>
          <w:bCs/>
          <w:sz w:val="26"/>
          <w:szCs w:val="26"/>
        </w:rPr>
        <w:t>мбт=</w:t>
      </w:r>
      <w:r>
        <w:rPr>
          <w:b/>
          <w:bCs/>
          <w:sz w:val="26"/>
          <w:szCs w:val="26"/>
          <w:lang w:val="en-US"/>
        </w:rPr>
        <w:t>N</w:t>
      </w:r>
      <w:r>
        <w:rPr>
          <w:b/>
          <w:bCs/>
          <w:sz w:val="26"/>
          <w:szCs w:val="26"/>
        </w:rPr>
        <w:t>*</w:t>
      </w:r>
      <w:r>
        <w:rPr>
          <w:b/>
          <w:bCs/>
          <w:sz w:val="26"/>
          <w:szCs w:val="26"/>
          <w:lang w:val="en-US"/>
        </w:rPr>
        <w:t>S</w:t>
      </w:r>
      <w:r>
        <w:rPr>
          <w:b/>
          <w:bCs/>
          <w:sz w:val="26"/>
          <w:szCs w:val="26"/>
        </w:rPr>
        <w:t>ба,</w:t>
      </w:r>
    </w:p>
    <w:p>
      <w:pPr>
        <w:ind w:firstLine="708"/>
        <w:jc w:val="center"/>
        <w:rPr>
          <w:b/>
          <w:bCs/>
        </w:rPr>
      </w:pPr>
      <w:bookmarkStart w:id="0" w:name="_GoBack"/>
      <w:bookmarkEnd w:id="0"/>
    </w:p>
    <w:p>
      <w:pPr>
        <w:ind w:firstLine="708"/>
        <w:jc w:val="center"/>
        <w:rPr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18"/>
        <w:gridCol w:w="1741"/>
        <w:gridCol w:w="1814"/>
        <w:gridCol w:w="1841"/>
      </w:tblGrid>
      <w:tr>
        <w:trPr>
          <w:trHeight w:val="135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поселение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Ассигнования по состоянию на 01.08.2024,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тыс. рублей (Sба)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Норматив финансовых затрат (N)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Размер межбюджетных трансфертов на год, тыс.рублей (Sмбт)</w:t>
            </w:r>
          </w:p>
        </w:tc>
      </w:tr>
      <w:tr>
        <w:trPr>
          <w:trHeight w:val="709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Пушкарское сельское поселение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36 578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0,0014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</w:t>
            </w:r>
          </w:p>
        </w:tc>
      </w:tr>
    </w:tbl>
    <w:p/>
    <w:sectPr>
      <w:headerReference w:type="default" r:id="rId8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C7724"/>
    <w:multiLevelType w:val="hybridMultilevel"/>
    <w:tmpl w:val="E97CF0C0"/>
    <w:lvl w:ilvl="0" w:tplc="A9B4C820">
      <w:start w:val="1"/>
      <w:numFmt w:val="decimal"/>
      <w:lvlText w:val="%1."/>
      <w:lvlJc w:val="left"/>
      <w:pPr>
        <w:ind w:left="1684" w:hanging="975"/>
      </w:pPr>
    </w:lvl>
    <w:lvl w:ilvl="1" w:tplc="14986FCA">
      <w:start w:val="1"/>
      <w:numFmt w:val="lowerLetter"/>
      <w:lvlText w:val="%2."/>
      <w:lvlJc w:val="left"/>
      <w:pPr>
        <w:ind w:left="1789" w:hanging="360"/>
      </w:pPr>
    </w:lvl>
    <w:lvl w:ilvl="2" w:tplc="0C0EBEF2">
      <w:start w:val="1"/>
      <w:numFmt w:val="lowerRoman"/>
      <w:lvlText w:val="%3."/>
      <w:lvlJc w:val="right"/>
      <w:pPr>
        <w:ind w:left="2509" w:hanging="180"/>
      </w:pPr>
    </w:lvl>
    <w:lvl w:ilvl="3" w:tplc="F11C4406">
      <w:start w:val="1"/>
      <w:numFmt w:val="decimal"/>
      <w:lvlText w:val="%4."/>
      <w:lvlJc w:val="left"/>
      <w:pPr>
        <w:ind w:left="3229" w:hanging="360"/>
      </w:pPr>
    </w:lvl>
    <w:lvl w:ilvl="4" w:tplc="19C877B0">
      <w:start w:val="1"/>
      <w:numFmt w:val="lowerLetter"/>
      <w:lvlText w:val="%5."/>
      <w:lvlJc w:val="left"/>
      <w:pPr>
        <w:ind w:left="3949" w:hanging="360"/>
      </w:pPr>
    </w:lvl>
    <w:lvl w:ilvl="5" w:tplc="F9BEB472">
      <w:start w:val="1"/>
      <w:numFmt w:val="lowerRoman"/>
      <w:lvlText w:val="%6."/>
      <w:lvlJc w:val="right"/>
      <w:pPr>
        <w:ind w:left="4669" w:hanging="180"/>
      </w:pPr>
    </w:lvl>
    <w:lvl w:ilvl="6" w:tplc="F6E8BDB6">
      <w:start w:val="1"/>
      <w:numFmt w:val="decimal"/>
      <w:lvlText w:val="%7."/>
      <w:lvlJc w:val="left"/>
      <w:pPr>
        <w:ind w:left="5389" w:hanging="360"/>
      </w:pPr>
    </w:lvl>
    <w:lvl w:ilvl="7" w:tplc="A6BA96C0">
      <w:start w:val="1"/>
      <w:numFmt w:val="lowerLetter"/>
      <w:lvlText w:val="%8."/>
      <w:lvlJc w:val="left"/>
      <w:pPr>
        <w:ind w:left="6109" w:hanging="360"/>
      </w:pPr>
    </w:lvl>
    <w:lvl w:ilvl="8" w:tplc="AAE6E8A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29427D"/>
    <w:multiLevelType w:val="hybridMultilevel"/>
    <w:tmpl w:val="E5DCC74E"/>
    <w:lvl w:ilvl="0" w:tplc="B4906DEC">
      <w:start w:val="1"/>
      <w:numFmt w:val="decimal"/>
      <w:lvlText w:val="6.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92C6186E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A984AE28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C20A7EA4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D4E2951E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3102764C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A7E22704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2402E5CE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A260EB8C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2">
    <w:nsid w:val="31F00547"/>
    <w:multiLevelType w:val="hybridMultilevel"/>
    <w:tmpl w:val="3580CC52"/>
    <w:lvl w:ilvl="0" w:tplc="E996D88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b w:val="0"/>
      </w:rPr>
    </w:lvl>
    <w:lvl w:ilvl="1" w:tplc="73C2393A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 w:tplc="D8C20AE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C0982AF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810684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9C4139C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BFE2B7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AAB20768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9AC64A74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56262656"/>
    <w:multiLevelType w:val="hybridMultilevel"/>
    <w:tmpl w:val="E15C4A58"/>
    <w:lvl w:ilvl="0" w:tplc="7A06945C">
      <w:start w:val="3"/>
      <w:numFmt w:val="decimal"/>
      <w:lvlText w:val="%1."/>
      <w:lvlJc w:val="left"/>
      <w:pPr>
        <w:ind w:left="1495" w:hanging="360"/>
      </w:pPr>
    </w:lvl>
    <w:lvl w:ilvl="1" w:tplc="22D00F84">
      <w:start w:val="1"/>
      <w:numFmt w:val="lowerLetter"/>
      <w:lvlText w:val="%2."/>
      <w:lvlJc w:val="left"/>
      <w:pPr>
        <w:ind w:left="1800" w:hanging="360"/>
      </w:pPr>
    </w:lvl>
    <w:lvl w:ilvl="2" w:tplc="BEA8E682">
      <w:start w:val="1"/>
      <w:numFmt w:val="lowerRoman"/>
      <w:lvlText w:val="%3."/>
      <w:lvlJc w:val="right"/>
      <w:pPr>
        <w:ind w:left="2520" w:hanging="180"/>
      </w:pPr>
    </w:lvl>
    <w:lvl w:ilvl="3" w:tplc="B0F0630A">
      <w:start w:val="1"/>
      <w:numFmt w:val="decimal"/>
      <w:lvlText w:val="%4."/>
      <w:lvlJc w:val="left"/>
      <w:pPr>
        <w:ind w:left="3240" w:hanging="360"/>
      </w:pPr>
    </w:lvl>
    <w:lvl w:ilvl="4" w:tplc="15D873E0">
      <w:start w:val="1"/>
      <w:numFmt w:val="lowerLetter"/>
      <w:lvlText w:val="%5."/>
      <w:lvlJc w:val="left"/>
      <w:pPr>
        <w:ind w:left="3960" w:hanging="360"/>
      </w:pPr>
    </w:lvl>
    <w:lvl w:ilvl="5" w:tplc="B84E005A">
      <w:start w:val="1"/>
      <w:numFmt w:val="lowerRoman"/>
      <w:lvlText w:val="%6."/>
      <w:lvlJc w:val="right"/>
      <w:pPr>
        <w:ind w:left="4680" w:hanging="180"/>
      </w:pPr>
    </w:lvl>
    <w:lvl w:ilvl="6" w:tplc="EE54CCC8">
      <w:start w:val="1"/>
      <w:numFmt w:val="decimal"/>
      <w:lvlText w:val="%7."/>
      <w:lvlJc w:val="left"/>
      <w:pPr>
        <w:ind w:left="5400" w:hanging="360"/>
      </w:pPr>
    </w:lvl>
    <w:lvl w:ilvl="7" w:tplc="D47E5C9A">
      <w:start w:val="1"/>
      <w:numFmt w:val="lowerLetter"/>
      <w:lvlText w:val="%8."/>
      <w:lvlJc w:val="left"/>
      <w:pPr>
        <w:ind w:left="6120" w:hanging="360"/>
      </w:pPr>
    </w:lvl>
    <w:lvl w:ilvl="8" w:tplc="F7F65EFC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2257F4"/>
    <w:multiLevelType w:val="hybridMultilevel"/>
    <w:tmpl w:val="D8804AFA"/>
    <w:lvl w:ilvl="0" w:tplc="E03AB448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9BE29BB4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b w:val="0"/>
      </w:rPr>
    </w:lvl>
    <w:lvl w:ilvl="2" w:tplc="B86C8C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A3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6CF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468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A9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0DD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06E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07392"/>
    <w:multiLevelType w:val="multilevel"/>
    <w:tmpl w:val="EA0A085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>
    <w:nsid w:val="69925B5B"/>
    <w:multiLevelType w:val="hybridMultilevel"/>
    <w:tmpl w:val="0D98F552"/>
    <w:lvl w:ilvl="0" w:tplc="D31C4F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1" w:tplc="C4AA360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b w:val="0"/>
        <w:color w:val="000000"/>
      </w:rPr>
    </w:lvl>
    <w:lvl w:ilvl="2" w:tplc="E4EA7056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/>
      </w:rPr>
    </w:lvl>
    <w:lvl w:ilvl="3" w:tplc="2E283476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4" w:tplc="FF503E76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/>
      </w:rPr>
    </w:lvl>
    <w:lvl w:ilvl="5" w:tplc="B7280E7E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/>
      </w:rPr>
    </w:lvl>
    <w:lvl w:ilvl="6" w:tplc="3372FECE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  <w:lvl w:ilvl="7" w:tplc="B96E6912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/>
      </w:rPr>
    </w:lvl>
    <w:lvl w:ilvl="8" w:tplc="491C12A2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08954-C976-4C56-9969-4D434D1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spacing w:line="360" w:lineRule="atLeast"/>
      <w:ind w:left="720"/>
      <w:contextualSpacing/>
      <w:jc w:val="both"/>
    </w:pPr>
  </w:style>
  <w:style w:type="paragraph" w:styleId="a4">
    <w:name w:val="Title"/>
    <w:basedOn w:val="a"/>
    <w:next w:val="a"/>
    <w:link w:val="a5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pPr>
      <w:spacing w:before="100" w:beforeAutospacing="1" w:after="100" w:afterAutospacing="1"/>
    </w:pPr>
  </w:style>
  <w:style w:type="character" w:styleId="afa">
    <w:name w:val="Strong"/>
    <w:qFormat/>
    <w:rPr>
      <w:b/>
      <w:bCs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styleId="afb">
    <w:name w:val="Body Text"/>
    <w:basedOn w:val="a"/>
    <w:link w:val="afc"/>
    <w:rPr>
      <w:sz w:val="22"/>
      <w:szCs w:val="20"/>
      <w:lang w:val="en-US" w:eastAsia="en-US"/>
    </w:rPr>
  </w:style>
  <w:style w:type="character" w:customStyle="1" w:styleId="afc">
    <w:name w:val="Основной текст Знак"/>
    <w:link w:val="afb"/>
    <w:rPr>
      <w:sz w:val="22"/>
      <w:lang w:val="en-US" w:eastAsia="en-US"/>
    </w:rPr>
  </w:style>
  <w:style w:type="paragraph" w:styleId="afd">
    <w:name w:val="No Spacing"/>
    <w:rPr>
      <w:rFonts w:ascii="Calibri" w:hAnsi="Calibri"/>
      <w:sz w:val="22"/>
      <w:szCs w:val="22"/>
      <w:lang w:eastAsia="en-US"/>
    </w:rPr>
  </w:style>
  <w:style w:type="paragraph" w:customStyle="1" w:styleId="25">
    <w:name w:val="Без интервала2"/>
    <w:rPr>
      <w:rFonts w:ascii="Calibri" w:hAnsi="Calibri"/>
      <w:sz w:val="22"/>
      <w:szCs w:val="22"/>
      <w:lang w:eastAsia="en-US"/>
    </w:rPr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paragraph" w:customStyle="1" w:styleId="ConsNormal">
    <w:name w:val="ConsNormal"/>
    <w:pPr>
      <w:jc w:val="both"/>
    </w:pPr>
    <w:rPr>
      <w:rFonts w:ascii="Courier New" w:hAnsi="Courier New" w:cs="Courier New"/>
      <w:lang w:eastAsia="en-US"/>
    </w:rPr>
  </w:style>
  <w:style w:type="table" w:customStyle="1" w:styleId="13">
    <w:name w:val="Сетка таблицы1"/>
    <w:basedOn w:val="a1"/>
    <w:next w:val="af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qFormat/>
    <w:rPr>
      <w:i/>
      <w:iCs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5">
    <w:name w:val="Название Знак"/>
    <w:link w:val="a4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Пользователь</cp:lastModifiedBy>
  <cp:revision>58</cp:revision>
  <cp:lastPrinted>2024-10-25T12:55:00Z</cp:lastPrinted>
  <dcterms:created xsi:type="dcterms:W3CDTF">2019-10-07T11:52:00Z</dcterms:created>
  <dcterms:modified xsi:type="dcterms:W3CDTF">2024-10-25T12:55:00Z</dcterms:modified>
  <cp:version>983040</cp:version>
</cp:coreProperties>
</file>