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200" w:line="360" w:lineRule="atLeast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905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</w:t>
      </w:r>
    </w:p>
    <w:p>
      <w:pPr>
        <w:widowControl w:val="0"/>
        <w:spacing w:after="0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ЗЕМСКОЕ СОБРАНИЕ ПУШКАРСКОГО СЕЛЬСКОГО ПОСЕЛЕНИЯ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четырнадцатое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собрания пятого созыва</w:t>
      </w:r>
    </w:p>
    <w:p>
      <w:pPr>
        <w:spacing w:after="20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</w:t>
      </w:r>
    </w:p>
    <w:p>
      <w:pPr>
        <w:widowControl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>
      <w:pPr>
        <w:widowControl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«29» октября 2024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№ 65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ключевого и индикативных показателей результативности и эффективности контрольной деятельности при осуществлении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земельного контроля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территории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Пушкарского сельского поселения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района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«Белгородский район» Белгородской области</w:t>
      </w:r>
    </w:p>
    <w:p>
      <w:pPr>
        <w:spacing w:after="0" w:line="240" w:lineRule="auto"/>
        <w:ind w:right="4496"/>
        <w:rPr>
          <w:rFonts w:ascii="Times New Roman" w:eastAsia="Calibri" w:hAnsi="Times New Roman" w:cs="Times New Roman"/>
          <w:b/>
          <w:sz w:val="27"/>
          <w:szCs w:val="27"/>
        </w:rPr>
      </w:pP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Земельным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</w:t>
      </w:r>
      <w:hyperlink r:id="rId9" w:history="1">
        <w:r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Федерации», Уставом Пушкарского сельского поселения муниципального района «Белгородский район» Белгородской области,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земское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собрание Пушкарского сельского поселения решило: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100"/>
          <w:sz w:val="28"/>
          <w:szCs w:val="28"/>
        </w:rPr>
      </w:pPr>
    </w:p>
    <w:p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1.1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Hlk177729122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Ключевой показатель результативности и эффективности контрольной деятельности при осуществлении муниципального земельного </w:t>
      </w:r>
      <w:r>
        <w:rPr>
          <w:rFonts w:ascii="Times New Roman" w:eastAsia="Calibri" w:hAnsi="Times New Roman" w:cs="Times New Roman"/>
          <w:sz w:val="28"/>
          <w:szCs w:val="28"/>
        </w:rPr>
        <w:t>контроля                            на территории Пушкарского сельского поселения муниципального района «Белгородский район» Белгородской области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№1);</w:t>
      </w:r>
    </w:p>
    <w:p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7729077"/>
      <w:r>
        <w:rPr>
          <w:rFonts w:ascii="Times New Roman" w:eastAsia="Calibri" w:hAnsi="Times New Roman" w:cs="Times New Roman"/>
          <w:sz w:val="28"/>
          <w:szCs w:val="28"/>
        </w:rPr>
        <w:t xml:space="preserve">          1.2.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Индикативные показатели результативности и эффективности контрольной деятельности при осуществлении муниципального земельного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контроля на территории Пушкарского сельского поселения муниципального района «Белгородский район» Белгородской области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(приложение №2).</w:t>
      </w:r>
    </w:p>
    <w:p>
      <w:pPr>
        <w:spacing w:after="0" w:line="240" w:lineRule="auto"/>
        <w:ind w:firstLine="709"/>
        <w:jc w:val="both"/>
        <w:rPr>
          <w:rFonts w:ascii="Tinos" w:eastAsia="Calibri" w:hAnsi="Tinos" w:cs="Tinos"/>
          <w:sz w:val="28"/>
          <w:szCs w:val="28"/>
        </w:rPr>
      </w:pPr>
      <w:r>
        <w:rPr>
          <w:rFonts w:ascii="Tinos" w:eastAsia="Calibri" w:hAnsi="Tinos" w:cs="Tinos"/>
          <w:b/>
          <w:sz w:val="28"/>
          <w:szCs w:val="28"/>
        </w:rPr>
        <w:t>2</w:t>
      </w:r>
      <w:r>
        <w:rPr>
          <w:rFonts w:ascii="Tinos" w:eastAsia="Calibri" w:hAnsi="Tinos" w:cs="Tinos"/>
          <w:sz w:val="28"/>
          <w:szCs w:val="28"/>
        </w:rPr>
        <w:t xml:space="preserve">. Опубликовать настоящее решение в сетевом издании «Знамя31.ру» (znamya31.ru)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 </w:t>
      </w:r>
      <w:r>
        <w:rPr>
          <w:rFonts w:ascii="Tinos" w:eastAsia="Calibri" w:hAnsi="Tinos" w:cs="Tinos"/>
          <w:sz w:val="28"/>
          <w:szCs w:val="28"/>
        </w:rPr>
        <w:tab/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nos" w:eastAsia="Calibri" w:hAnsi="Tinos" w:cs="Tinos"/>
          <w:b/>
          <w:sz w:val="28"/>
          <w:szCs w:val="28"/>
        </w:rPr>
        <w:lastRenderedPageBreak/>
        <w:t>3.</w:t>
      </w:r>
      <w:r>
        <w:rPr>
          <w:rFonts w:ascii="Tinos" w:eastAsia="Calibri" w:hAnsi="Tinos" w:cs="Tinos"/>
          <w:sz w:val="28"/>
          <w:szCs w:val="28"/>
        </w:rPr>
        <w:t xml:space="preserve"> Контроль за исполнением настоящего решения возложить на постоянную комиссию земского собрания Пушкарского сельского поселения по вопросам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>, социальной политике и общественной безопасности (Криничный А.В.).</w:t>
      </w:r>
    </w:p>
    <w:p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Глава Пушкарского</w:t>
      </w:r>
    </w:p>
    <w:p>
      <w:pPr>
        <w:shd w:val="clear" w:color="auto" w:fill="FFFFFF"/>
        <w:tabs>
          <w:tab w:val="left" w:pos="371"/>
          <w:tab w:val="left" w:leader="dot" w:pos="22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поселения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В.И.Смольякова</w:t>
      </w:r>
      <w:proofErr w:type="spellEnd"/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A"/>
          <w:lang w:eastAsia="ru-RU"/>
        </w:rPr>
        <w:t>УТВЕРЖДЕНО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A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A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lang w:eastAsia="ru-RU"/>
        </w:rPr>
        <w:tab/>
        <w:t xml:space="preserve">                   </w:t>
      </w:r>
      <w:proofErr w:type="gramStart"/>
      <w:r>
        <w:rPr>
          <w:rFonts w:ascii="Times New Roman" w:eastAsia="Calibri" w:hAnsi="Times New Roman" w:cs="Times New Roman"/>
          <w:b/>
          <w:bCs/>
          <w:color w:val="00000A"/>
          <w:lang w:eastAsia="ru-RU"/>
        </w:rPr>
        <w:t>решением</w:t>
      </w:r>
      <w:proofErr w:type="gramEnd"/>
      <w:r>
        <w:rPr>
          <w:rFonts w:ascii="Times New Roman" w:eastAsia="Calibri" w:hAnsi="Times New Roman" w:cs="Times New Roman"/>
          <w:b/>
          <w:bCs/>
          <w:color w:val="00000A"/>
          <w:lang w:eastAsia="ru-RU"/>
        </w:rPr>
        <w:t> Земского</w:t>
      </w:r>
      <w:r>
        <w:rPr>
          <w:rFonts w:ascii="Times New Roman" w:eastAsia="Calibri" w:hAnsi="Times New Roman" w:cs="Times New Roman"/>
          <w:b/>
          <w:color w:val="00000A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A"/>
          <w:lang w:eastAsia="ru-RU"/>
        </w:rPr>
        <w:t>собрания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A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Пушкарского сельского поселения</w:t>
      </w:r>
    </w:p>
    <w:p>
      <w:pPr>
        <w:spacing w:after="0" w:line="240" w:lineRule="auto"/>
        <w:ind w:left="9912" w:firstLine="708"/>
        <w:jc w:val="center"/>
        <w:rPr>
          <w:rFonts w:ascii="Times New Roman" w:eastAsia="Calibri" w:hAnsi="Times New Roman" w:cs="Times New Roman"/>
          <w:b/>
          <w:color w:val="00000A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A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b/>
          <w:bCs/>
          <w:color w:val="00000A"/>
          <w:lang w:eastAsia="ru-RU"/>
        </w:rPr>
        <w:t xml:space="preserve"> «29» октября 2024 г. № 65</w:t>
      </w:r>
    </w:p>
    <w:p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Приложение № 1</w:t>
      </w:r>
    </w:p>
    <w:p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>
      <w:pPr>
        <w:pStyle w:val="af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Перечень</w:t>
      </w:r>
    </w:p>
    <w:p>
      <w:pPr>
        <w:pStyle w:val="af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ключевого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показателя оценки результативности и эффективности</w:t>
      </w:r>
    </w:p>
    <w:p>
      <w:pPr>
        <w:pStyle w:val="af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контрольной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Пушкарского сельского поселения  муниципального района </w:t>
      </w:r>
    </w:p>
    <w:p>
      <w:pPr>
        <w:pStyle w:val="af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«Белгородский район» Белгородской области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его целевое значение</w:t>
      </w:r>
    </w:p>
    <w:p>
      <w:pPr>
        <w:pStyle w:val="af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3"/>
        <w:tblW w:w="15291" w:type="dxa"/>
        <w:tblInd w:w="-147" w:type="dxa"/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1843"/>
        <w:gridCol w:w="2409"/>
        <w:gridCol w:w="1418"/>
        <w:gridCol w:w="1408"/>
        <w:gridCol w:w="1124"/>
        <w:gridCol w:w="2127"/>
        <w:gridCol w:w="1559"/>
      </w:tblGrid>
      <w:tr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Номер (индекс) показа-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теля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Значение показателя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текущее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/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базовое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)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Международ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-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 xml:space="preserve"> сопоставления показателей</w:t>
            </w:r>
            <w:r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 xml:space="preserve">Целевые значения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показате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-лей</w:t>
            </w:r>
            <w:proofErr w:type="gramEnd"/>
          </w:p>
          <w:p>
            <w:pPr>
              <w:jc w:val="center"/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 xml:space="preserve">Источник данных для определения значения 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показателя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 xml:space="preserve">Сведения о документах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стратеги-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ческого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планиро-вания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, содержащих показатель</w:t>
            </w:r>
            <w:r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</w:p>
        </w:tc>
      </w:tr>
      <w:tr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08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24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9</w:t>
            </w:r>
          </w:p>
        </w:tc>
      </w:tr>
      <w:tr>
        <w:tc>
          <w:tcPr>
            <w:tcW w:w="15291" w:type="dxa"/>
            <w:gridSpan w:val="9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Наименование органа контроля: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Администрация Пушкарского сельского поселения Белгородского района </w:t>
            </w:r>
          </w:p>
        </w:tc>
      </w:tr>
      <w:tr>
        <w:tc>
          <w:tcPr>
            <w:tcW w:w="15291" w:type="dxa"/>
            <w:gridSpan w:val="9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  <w:lang w:eastAsia="ru-RU"/>
              </w:rPr>
              <w:t>Наименование вида контрольной деятельности: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t>Муниципальный контроль в сфере благоустройства</w:t>
            </w:r>
          </w:p>
        </w:tc>
      </w:tr>
      <w:tr>
        <w:tc>
          <w:tcPr>
            <w:tcW w:w="993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t>А.1.</w:t>
            </w:r>
          </w:p>
        </w:tc>
        <w:tc>
          <w:tcPr>
            <w:tcW w:w="2410" w:type="dxa"/>
            <w:shd w:val="clear" w:color="auto" w:fill="auto"/>
            <w:tcMar>
              <w:left w:w="-2" w:type="dxa"/>
            </w:tcMar>
          </w:tcPr>
          <w:p>
            <w:pPr>
              <w:ind w:left="34"/>
              <w:jc w:val="center"/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t xml:space="preserve">граждан,   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t xml:space="preserve">   получивших вред (ущерб) здоровью</w:t>
            </w:r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br/>
              <w:t xml:space="preserve">в зимний период (ноябрь-март), в связи с несоблюдением юридическими лицами и индивидуальными предпринимателями правил благоустройства в части очистки кровель </w:t>
            </w:r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lastRenderedPageBreak/>
              <w:t>от снега, наледи и сосулек, и (или) очистки от снега и льда, обработки противогололёдными материалами покрытий проезжей части дорог, мостов, улиц, тротуаров, проездов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>
            <w:pPr>
              <w:ind w:left="2" w:hanging="567"/>
              <w:jc w:val="center"/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lastRenderedPageBreak/>
              <w:t xml:space="preserve">        Д</w:t>
            </w:r>
            <w:r>
              <w:rPr>
                <w:rFonts w:ascii="Times New Roman" w:eastAsia="Calibri" w:hAnsi="Times New Roman" w:cs="Calibri"/>
                <w:color w:val="00000A"/>
                <w:sz w:val="23"/>
                <w:szCs w:val="23"/>
                <w:lang w:eastAsia="ru-RU"/>
              </w:rPr>
              <w:t xml:space="preserve">= </w:t>
            </w:r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t>П/Ч×100%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t>Д – доля граждан, пострадавших в результате несоблюдения юридическими лицами и индивидуальными предпринимателями правил благоустройства;</w:t>
            </w:r>
          </w:p>
          <w:p>
            <w:pP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t xml:space="preserve">П – количество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t>пострадавших  граждан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t>;</w:t>
            </w:r>
          </w:p>
          <w:p>
            <w:pP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lastRenderedPageBreak/>
              <w:t xml:space="preserve">Ч – численность населения Пушкарского сельского поселения Белгородского района </w:t>
            </w:r>
          </w:p>
          <w:p>
            <w:pP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lastRenderedPageBreak/>
              <w:t>0%</w:t>
            </w:r>
          </w:p>
        </w:tc>
        <w:tc>
          <w:tcPr>
            <w:tcW w:w="1408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24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Поступление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обращений</w:t>
            </w:r>
            <w:proofErr w:type="gramEnd"/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заявлений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)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граждан</w:t>
            </w:r>
            <w:proofErr w:type="gramEnd"/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 xml:space="preserve"> организаций,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информации</w:t>
            </w:r>
            <w:proofErr w:type="gramEnd"/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 xml:space="preserve"> органов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государственной</w:t>
            </w:r>
            <w:proofErr w:type="gramEnd"/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власти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, органов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местного</w:t>
            </w:r>
            <w:proofErr w:type="gramEnd"/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самоуправления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,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 xml:space="preserve"> средств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lastRenderedPageBreak/>
              <w:t>массовой</w:t>
            </w:r>
            <w:proofErr w:type="gramEnd"/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информации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,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информационно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-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телекоммуникацио</w:t>
            </w:r>
            <w:proofErr w:type="spellEnd"/>
            <w:proofErr w:type="gramEnd"/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нной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 xml:space="preserve"> сети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"Интернет",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Государственных</w:t>
            </w:r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br/>
              <w:t xml:space="preserve"> н иных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информационных</w:t>
            </w:r>
            <w:proofErr w:type="gramEnd"/>
          </w:p>
          <w:p>
            <w:pPr>
              <w:jc w:val="center"/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3"/>
                <w:szCs w:val="23"/>
                <w:lang w:eastAsia="ru-RU"/>
              </w:rPr>
              <w:t>систем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>
            <w:pPr>
              <w:jc w:val="center"/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eastAsia="ru-RU"/>
              </w:rPr>
              <w:lastRenderedPageBreak/>
              <w:t>-</w:t>
            </w:r>
          </w:p>
        </w:tc>
      </w:tr>
    </w:tbl>
    <w:p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sectPr>
          <w:headerReference w:type="default" r:id="rId12"/>
          <w:headerReference w:type="first" r:id="rId13"/>
          <w:pgSz w:w="16838" w:h="11906" w:orient="landscape"/>
          <w:pgMar w:top="1418" w:right="1134" w:bottom="284" w:left="1134" w:header="709" w:footer="0" w:gutter="0"/>
          <w:pgNumType w:start="2"/>
          <w:cols w:space="720"/>
          <w:formProt w:val="0"/>
          <w:titlePg/>
          <w:docGrid w:linePitch="360" w:charSpace="-2049"/>
        </w:sectPr>
      </w:pPr>
    </w:p>
    <w:p>
      <w:pPr>
        <w:pStyle w:val="af5"/>
        <w:ind w:left="5812" w:firstLine="41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6"/>
          <w:szCs w:val="26"/>
        </w:rPr>
        <w:lastRenderedPageBreak/>
        <w:t>УТВЕРЖДЕНО                                                                                                                                           решением Земского собрания</w:t>
      </w:r>
    </w:p>
    <w:p>
      <w:pPr>
        <w:pStyle w:val="af5"/>
        <w:ind w:left="4678" w:firstLine="4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Пушкарского сельского поселения</w:t>
      </w:r>
    </w:p>
    <w:p>
      <w:pPr>
        <w:pStyle w:val="af5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« 29 » октября 2024 г. № 65</w:t>
      </w:r>
    </w:p>
    <w:p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pStyle w:val="af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Приложение № 2</w:t>
      </w:r>
    </w:p>
    <w:p>
      <w:pPr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f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>
      <w:pPr>
        <w:pStyle w:val="af5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индикативного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показателя оценки результативности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и эффективности контрольной деятельности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при осуществлении муниципального контроль в сфере благоустройства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 территории Пушкарского сельского поселения муниципального района</w:t>
      </w:r>
    </w:p>
    <w:p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«Белгородский район» Белгородской области</w:t>
      </w:r>
    </w:p>
    <w:p>
      <w:pPr>
        <w:pStyle w:val="af5"/>
      </w:pPr>
    </w:p>
    <w:p>
      <w:pPr>
        <w:pStyle w:val="af5"/>
        <w:rPr>
          <w:rFonts w:eastAsia="Times New Roman"/>
        </w:rPr>
      </w:pPr>
    </w:p>
    <w:tbl>
      <w:tblPr>
        <w:tblStyle w:val="11"/>
        <w:tblW w:w="10193" w:type="dxa"/>
        <w:tblInd w:w="-550" w:type="dxa"/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2"/>
        <w:gridCol w:w="9201"/>
      </w:tblGrid>
      <w:tr>
        <w:trPr>
          <w:tblHeader/>
        </w:trP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контрольных мероприятий, проведенных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таких параметров за отчетный период 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контрольных мероприятий с взаимодействием,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 с взаимодействием по каждому виду КНМ, проведенных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с использованием средств дистанционного взаимодействия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нарушения обязательных требований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мероприятий, по итогам которых возбуждены 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 административных правонарушениях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административных штрафов, наложенных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направленных в органы прокуратуры заявлений о согласовании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которым органами прокуратуры отказано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согласовании, за отчетный период</w:t>
            </w:r>
          </w:p>
        </w:tc>
      </w:tr>
      <w:tr>
        <w:trPr>
          <w:trHeight w:val="267"/>
        </w:trP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737" w:hanging="5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323"/>
        </w:trP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624" w:right="-108" w:hanging="43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учтенных объектов контроля, отнесенных к категориям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из категорий риска на конец отчетного периода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624" w:right="-108" w:hanging="43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624" w:right="-108" w:hanging="43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учтенных контролируемых лиц, в отношении которых проведены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 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624" w:right="-108" w:hanging="43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624" w:right="-108" w:hanging="43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624" w:right="-108" w:hanging="43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жалоб, поданных контролируемыми лицами в досудебном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624" w:hanging="43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судебном порядке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624" w:hanging="43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судебном порядке, по которым принято решение об удовлетворении заявленных требований за отчетный период</w:t>
            </w:r>
          </w:p>
        </w:tc>
      </w:tr>
      <w:tr>
        <w:tc>
          <w:tcPr>
            <w:tcW w:w="992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624" w:hanging="43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1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 и (или) отменены за отчетный период</w:t>
            </w:r>
          </w:p>
        </w:tc>
      </w:tr>
    </w:tbl>
    <w:p>
      <w:pPr>
        <w:rPr>
          <w:rFonts w:ascii="Times New Roman" w:hAnsi="Times New Roman" w:cs="Times New Roman"/>
          <w:bCs/>
        </w:rPr>
      </w:pPr>
    </w:p>
    <w:p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593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690319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  <w:p>
        <w:pPr>
          <w:pStyle w:val="a3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58A"/>
    <w:multiLevelType w:val="multilevel"/>
    <w:tmpl w:val="298E97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B2208"/>
    <w:multiLevelType w:val="hybridMultilevel"/>
    <w:tmpl w:val="E4FC15DE"/>
    <w:lvl w:ilvl="0" w:tplc="44B440D0">
      <w:start w:val="1"/>
      <w:numFmt w:val="decimal"/>
      <w:lvlText w:val="%1."/>
      <w:lvlJc w:val="left"/>
      <w:pPr>
        <w:ind w:left="9113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F292D"/>
    <w:multiLevelType w:val="hybridMultilevel"/>
    <w:tmpl w:val="B31E07D0"/>
    <w:lvl w:ilvl="0" w:tplc="57781E24">
      <w:start w:val="2"/>
      <w:numFmt w:val="decimal"/>
      <w:lvlText w:val="%1"/>
      <w:lvlJc w:val="left"/>
      <w:pPr>
        <w:ind w:left="1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">
    <w:nsid w:val="0FEC15AB"/>
    <w:multiLevelType w:val="multilevel"/>
    <w:tmpl w:val="1160F5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5">
    <w:nsid w:val="1C812EBD"/>
    <w:multiLevelType w:val="multilevel"/>
    <w:tmpl w:val="752C9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12564"/>
    <w:multiLevelType w:val="multilevel"/>
    <w:tmpl w:val="65840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5B83681"/>
    <w:multiLevelType w:val="multilevel"/>
    <w:tmpl w:val="6554B0E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9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DD3"/>
    <w:multiLevelType w:val="hybridMultilevel"/>
    <w:tmpl w:val="B9EE8362"/>
    <w:lvl w:ilvl="0" w:tplc="B838C582">
      <w:start w:val="1"/>
      <w:numFmt w:val="decimal"/>
      <w:lvlText w:val="%1."/>
      <w:lvlJc w:val="left"/>
      <w:pPr>
        <w:ind w:left="148" w:hanging="278"/>
        <w:jc w:val="right"/>
      </w:pPr>
      <w:rPr>
        <w:rFonts w:hint="default"/>
        <w:w w:val="94"/>
        <w:lang w:val="ru-RU" w:eastAsia="en-US" w:bidi="ar-SA"/>
      </w:rPr>
    </w:lvl>
    <w:lvl w:ilvl="1" w:tplc="AACE3EEA">
      <w:numFmt w:val="bullet"/>
      <w:lvlText w:val="•"/>
      <w:lvlJc w:val="left"/>
      <w:pPr>
        <w:ind w:left="1062" w:hanging="278"/>
      </w:pPr>
      <w:rPr>
        <w:rFonts w:hint="default"/>
        <w:lang w:val="ru-RU" w:eastAsia="en-US" w:bidi="ar-SA"/>
      </w:rPr>
    </w:lvl>
    <w:lvl w:ilvl="2" w:tplc="F66AC628">
      <w:numFmt w:val="bullet"/>
      <w:lvlText w:val="•"/>
      <w:lvlJc w:val="left"/>
      <w:pPr>
        <w:ind w:left="1984" w:hanging="278"/>
      </w:pPr>
      <w:rPr>
        <w:rFonts w:hint="default"/>
        <w:lang w:val="ru-RU" w:eastAsia="en-US" w:bidi="ar-SA"/>
      </w:rPr>
    </w:lvl>
    <w:lvl w:ilvl="3" w:tplc="8176FD0E">
      <w:numFmt w:val="bullet"/>
      <w:lvlText w:val="•"/>
      <w:lvlJc w:val="left"/>
      <w:pPr>
        <w:ind w:left="2906" w:hanging="278"/>
      </w:pPr>
      <w:rPr>
        <w:rFonts w:hint="default"/>
        <w:lang w:val="ru-RU" w:eastAsia="en-US" w:bidi="ar-SA"/>
      </w:rPr>
    </w:lvl>
    <w:lvl w:ilvl="4" w:tplc="B6F43F8A">
      <w:numFmt w:val="bullet"/>
      <w:lvlText w:val="•"/>
      <w:lvlJc w:val="left"/>
      <w:pPr>
        <w:ind w:left="3828" w:hanging="278"/>
      </w:pPr>
      <w:rPr>
        <w:rFonts w:hint="default"/>
        <w:lang w:val="ru-RU" w:eastAsia="en-US" w:bidi="ar-SA"/>
      </w:rPr>
    </w:lvl>
    <w:lvl w:ilvl="5" w:tplc="0630B674">
      <w:numFmt w:val="bullet"/>
      <w:lvlText w:val="•"/>
      <w:lvlJc w:val="left"/>
      <w:pPr>
        <w:ind w:left="4750" w:hanging="278"/>
      </w:pPr>
      <w:rPr>
        <w:rFonts w:hint="default"/>
        <w:lang w:val="ru-RU" w:eastAsia="en-US" w:bidi="ar-SA"/>
      </w:rPr>
    </w:lvl>
    <w:lvl w:ilvl="6" w:tplc="108C247E">
      <w:numFmt w:val="bullet"/>
      <w:lvlText w:val="•"/>
      <w:lvlJc w:val="left"/>
      <w:pPr>
        <w:ind w:left="5672" w:hanging="278"/>
      </w:pPr>
      <w:rPr>
        <w:rFonts w:hint="default"/>
        <w:lang w:val="ru-RU" w:eastAsia="en-US" w:bidi="ar-SA"/>
      </w:rPr>
    </w:lvl>
    <w:lvl w:ilvl="7" w:tplc="3EF011D2">
      <w:numFmt w:val="bullet"/>
      <w:lvlText w:val="•"/>
      <w:lvlJc w:val="left"/>
      <w:pPr>
        <w:ind w:left="6594" w:hanging="278"/>
      </w:pPr>
      <w:rPr>
        <w:rFonts w:hint="default"/>
        <w:lang w:val="ru-RU" w:eastAsia="en-US" w:bidi="ar-SA"/>
      </w:rPr>
    </w:lvl>
    <w:lvl w:ilvl="8" w:tplc="2C88D62E">
      <w:numFmt w:val="bullet"/>
      <w:lvlText w:val="•"/>
      <w:lvlJc w:val="left"/>
      <w:pPr>
        <w:ind w:left="7516" w:hanging="278"/>
      </w:pPr>
      <w:rPr>
        <w:rFonts w:hint="default"/>
        <w:lang w:val="ru-RU" w:eastAsia="en-US" w:bidi="ar-SA"/>
      </w:rPr>
    </w:lvl>
  </w:abstractNum>
  <w:abstractNum w:abstractNumId="11">
    <w:nsid w:val="28592578"/>
    <w:multiLevelType w:val="hybridMultilevel"/>
    <w:tmpl w:val="2D187C54"/>
    <w:lvl w:ilvl="0" w:tplc="952C5DBA">
      <w:start w:val="1"/>
      <w:numFmt w:val="decimal"/>
      <w:lvlText w:val="%1."/>
      <w:lvlJc w:val="left"/>
      <w:pPr>
        <w:ind w:left="1145" w:hanging="43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EF2C40"/>
    <w:multiLevelType w:val="hybridMultilevel"/>
    <w:tmpl w:val="C3402AC8"/>
    <w:lvl w:ilvl="0" w:tplc="C33EDC1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2E842A36"/>
    <w:multiLevelType w:val="multilevel"/>
    <w:tmpl w:val="101EB3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14">
    <w:nsid w:val="2FF45FBF"/>
    <w:multiLevelType w:val="multilevel"/>
    <w:tmpl w:val="D646F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0569B"/>
    <w:multiLevelType w:val="hybridMultilevel"/>
    <w:tmpl w:val="4A48283C"/>
    <w:lvl w:ilvl="0" w:tplc="82EC2900">
      <w:start w:val="29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>
    <w:nsid w:val="30AB5563"/>
    <w:multiLevelType w:val="multilevel"/>
    <w:tmpl w:val="DB8C4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398F54F8"/>
    <w:multiLevelType w:val="multilevel"/>
    <w:tmpl w:val="D2E09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AD6AC7"/>
    <w:multiLevelType w:val="multilevel"/>
    <w:tmpl w:val="26248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4ABE15D4"/>
    <w:multiLevelType w:val="multilevel"/>
    <w:tmpl w:val="5EC04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AD13C1"/>
    <w:multiLevelType w:val="multilevel"/>
    <w:tmpl w:val="0854E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C96000"/>
    <w:multiLevelType w:val="hybridMultilevel"/>
    <w:tmpl w:val="C3D200C0"/>
    <w:lvl w:ilvl="0" w:tplc="578ADA9A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3F410E1"/>
    <w:multiLevelType w:val="multilevel"/>
    <w:tmpl w:val="84902604"/>
    <w:lvl w:ilvl="0">
      <w:start w:val="2"/>
      <w:numFmt w:val="decimal"/>
      <w:lvlText w:val="%1"/>
      <w:lvlJc w:val="left"/>
      <w:pPr>
        <w:ind w:left="750" w:hanging="750"/>
      </w:pPr>
      <w:rPr>
        <w:rFonts w:eastAsiaTheme="minorHAnsi" w:hint="default"/>
      </w:rPr>
    </w:lvl>
    <w:lvl w:ilvl="1">
      <w:start w:val="10"/>
      <w:numFmt w:val="decimal"/>
      <w:lvlText w:val="%1.%2"/>
      <w:lvlJc w:val="left"/>
      <w:pPr>
        <w:ind w:left="1330" w:hanging="75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1910" w:hanging="75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eastAsiaTheme="minorHAnsi" w:hint="default"/>
      </w:rPr>
    </w:lvl>
  </w:abstractNum>
  <w:abstractNum w:abstractNumId="24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179AA"/>
    <w:multiLevelType w:val="multilevel"/>
    <w:tmpl w:val="9104DB8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6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FC64B8"/>
    <w:multiLevelType w:val="multilevel"/>
    <w:tmpl w:val="8AE4CB6E"/>
    <w:lvl w:ilvl="0">
      <w:start w:val="1"/>
      <w:numFmt w:val="decimal"/>
      <w:lvlText w:val="%1."/>
      <w:lvlJc w:val="left"/>
      <w:pPr>
        <w:ind w:left="495" w:hanging="4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8">
    <w:nsid w:val="6B4202E7"/>
    <w:multiLevelType w:val="multilevel"/>
    <w:tmpl w:val="9104DB8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9">
    <w:nsid w:val="70EA009E"/>
    <w:multiLevelType w:val="multilevel"/>
    <w:tmpl w:val="BEEC1F2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2045F8D"/>
    <w:multiLevelType w:val="multilevel"/>
    <w:tmpl w:val="D2D6DA2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279608B"/>
    <w:multiLevelType w:val="multilevel"/>
    <w:tmpl w:val="FBF219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4EC5FA3"/>
    <w:multiLevelType w:val="hybridMultilevel"/>
    <w:tmpl w:val="75360C0C"/>
    <w:lvl w:ilvl="0" w:tplc="7CD69FE2">
      <w:start w:val="1"/>
      <w:numFmt w:val="decimal"/>
      <w:lvlText w:val="%1."/>
      <w:lvlJc w:val="left"/>
      <w:pPr>
        <w:ind w:left="148" w:hanging="278"/>
        <w:jc w:val="right"/>
      </w:pPr>
      <w:rPr>
        <w:rFonts w:hint="default"/>
        <w:w w:val="94"/>
        <w:lang w:val="ru-RU" w:eastAsia="en-US" w:bidi="ar-SA"/>
      </w:rPr>
    </w:lvl>
    <w:lvl w:ilvl="1" w:tplc="48EE473E">
      <w:numFmt w:val="bullet"/>
      <w:lvlText w:val="•"/>
      <w:lvlJc w:val="left"/>
      <w:pPr>
        <w:ind w:left="1062" w:hanging="278"/>
      </w:pPr>
      <w:rPr>
        <w:rFonts w:hint="default"/>
        <w:lang w:val="ru-RU" w:eastAsia="en-US" w:bidi="ar-SA"/>
      </w:rPr>
    </w:lvl>
    <w:lvl w:ilvl="2" w:tplc="8FD2F16C">
      <w:numFmt w:val="bullet"/>
      <w:lvlText w:val="•"/>
      <w:lvlJc w:val="left"/>
      <w:pPr>
        <w:ind w:left="1984" w:hanging="278"/>
      </w:pPr>
      <w:rPr>
        <w:rFonts w:hint="default"/>
        <w:lang w:val="ru-RU" w:eastAsia="en-US" w:bidi="ar-SA"/>
      </w:rPr>
    </w:lvl>
    <w:lvl w:ilvl="3" w:tplc="59DA6180">
      <w:numFmt w:val="bullet"/>
      <w:lvlText w:val="•"/>
      <w:lvlJc w:val="left"/>
      <w:pPr>
        <w:ind w:left="2906" w:hanging="278"/>
      </w:pPr>
      <w:rPr>
        <w:rFonts w:hint="default"/>
        <w:lang w:val="ru-RU" w:eastAsia="en-US" w:bidi="ar-SA"/>
      </w:rPr>
    </w:lvl>
    <w:lvl w:ilvl="4" w:tplc="D78CCA2A">
      <w:numFmt w:val="bullet"/>
      <w:lvlText w:val="•"/>
      <w:lvlJc w:val="left"/>
      <w:pPr>
        <w:ind w:left="3828" w:hanging="278"/>
      </w:pPr>
      <w:rPr>
        <w:rFonts w:hint="default"/>
        <w:lang w:val="ru-RU" w:eastAsia="en-US" w:bidi="ar-SA"/>
      </w:rPr>
    </w:lvl>
    <w:lvl w:ilvl="5" w:tplc="4ED847EC">
      <w:numFmt w:val="bullet"/>
      <w:lvlText w:val="•"/>
      <w:lvlJc w:val="left"/>
      <w:pPr>
        <w:ind w:left="4750" w:hanging="278"/>
      </w:pPr>
      <w:rPr>
        <w:rFonts w:hint="default"/>
        <w:lang w:val="ru-RU" w:eastAsia="en-US" w:bidi="ar-SA"/>
      </w:rPr>
    </w:lvl>
    <w:lvl w:ilvl="6" w:tplc="86ACDE42">
      <w:numFmt w:val="bullet"/>
      <w:lvlText w:val="•"/>
      <w:lvlJc w:val="left"/>
      <w:pPr>
        <w:ind w:left="5672" w:hanging="278"/>
      </w:pPr>
      <w:rPr>
        <w:rFonts w:hint="default"/>
        <w:lang w:val="ru-RU" w:eastAsia="en-US" w:bidi="ar-SA"/>
      </w:rPr>
    </w:lvl>
    <w:lvl w:ilvl="7" w:tplc="3AD8DF92">
      <w:numFmt w:val="bullet"/>
      <w:lvlText w:val="•"/>
      <w:lvlJc w:val="left"/>
      <w:pPr>
        <w:ind w:left="6594" w:hanging="278"/>
      </w:pPr>
      <w:rPr>
        <w:rFonts w:hint="default"/>
        <w:lang w:val="ru-RU" w:eastAsia="en-US" w:bidi="ar-SA"/>
      </w:rPr>
    </w:lvl>
    <w:lvl w:ilvl="8" w:tplc="A37E94C6">
      <w:numFmt w:val="bullet"/>
      <w:lvlText w:val="•"/>
      <w:lvlJc w:val="left"/>
      <w:pPr>
        <w:ind w:left="7516" w:hanging="278"/>
      </w:pPr>
      <w:rPr>
        <w:rFonts w:hint="default"/>
        <w:lang w:val="ru-RU" w:eastAsia="en-US" w:bidi="ar-SA"/>
      </w:rPr>
    </w:lvl>
  </w:abstractNum>
  <w:abstractNum w:abstractNumId="34">
    <w:nsid w:val="75BB6582"/>
    <w:multiLevelType w:val="multilevel"/>
    <w:tmpl w:val="CD167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5"/>
  </w:num>
  <w:num w:numId="2">
    <w:abstractNumId w:val="6"/>
  </w:num>
  <w:num w:numId="3">
    <w:abstractNumId w:val="19"/>
  </w:num>
  <w:num w:numId="4">
    <w:abstractNumId w:val="21"/>
  </w:num>
  <w:num w:numId="5">
    <w:abstractNumId w:val="34"/>
  </w:num>
  <w:num w:numId="6">
    <w:abstractNumId w:val="16"/>
  </w:num>
  <w:num w:numId="7">
    <w:abstractNumId w:val="13"/>
  </w:num>
  <w:num w:numId="8">
    <w:abstractNumId w:val="31"/>
  </w:num>
  <w:num w:numId="9">
    <w:abstractNumId w:val="30"/>
  </w:num>
  <w:num w:numId="10">
    <w:abstractNumId w:val="27"/>
  </w:num>
  <w:num w:numId="11">
    <w:abstractNumId w:val="15"/>
  </w:num>
  <w:num w:numId="12">
    <w:abstractNumId w:val="28"/>
  </w:num>
  <w:num w:numId="13">
    <w:abstractNumId w:val="22"/>
  </w:num>
  <w:num w:numId="14">
    <w:abstractNumId w:val="8"/>
  </w:num>
  <w:num w:numId="15">
    <w:abstractNumId w:val="23"/>
  </w:num>
  <w:num w:numId="16">
    <w:abstractNumId w:val="4"/>
  </w:num>
  <w:num w:numId="17">
    <w:abstractNumId w:val="29"/>
  </w:num>
  <w:num w:numId="18">
    <w:abstractNumId w:val="1"/>
  </w:num>
  <w:num w:numId="19">
    <w:abstractNumId w:val="2"/>
  </w:num>
  <w:num w:numId="20">
    <w:abstractNumId w:val="24"/>
  </w:num>
  <w:num w:numId="21">
    <w:abstractNumId w:val="26"/>
  </w:num>
  <w:num w:numId="22">
    <w:abstractNumId w:val="32"/>
  </w:num>
  <w:num w:numId="23">
    <w:abstractNumId w:val="9"/>
  </w:num>
  <w:num w:numId="24">
    <w:abstractNumId w:val="7"/>
  </w:num>
  <w:num w:numId="25">
    <w:abstractNumId w:val="18"/>
  </w:num>
  <w:num w:numId="26">
    <w:abstractNumId w:val="20"/>
  </w:num>
  <w:num w:numId="27">
    <w:abstractNumId w:val="17"/>
  </w:num>
  <w:num w:numId="28">
    <w:abstractNumId w:val="5"/>
  </w:num>
  <w:num w:numId="29">
    <w:abstractNumId w:val="14"/>
  </w:num>
  <w:num w:numId="30">
    <w:abstractNumId w:val="0"/>
  </w:num>
  <w:num w:numId="31">
    <w:abstractNumId w:val="10"/>
  </w:num>
  <w:num w:numId="32">
    <w:abstractNumId w:val="3"/>
  </w:num>
  <w:num w:numId="33">
    <w:abstractNumId w:val="33"/>
  </w:num>
  <w:num w:numId="34">
    <w:abstractNumId w:val="12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1F3BE-7CF3-4FE4-BBD7-FAB62626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xl24">
    <w:name w:val="xl24"/>
    <w:basedOn w:val="a"/>
    <w:uiPriority w:val="99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paragraph" w:styleId="af1">
    <w:name w:val="List Paragraph"/>
    <w:basedOn w:val="a"/>
    <w:uiPriority w:val="1"/>
    <w:qFormat/>
    <w:pPr>
      <w:ind w:left="720"/>
      <w:contextualSpacing/>
    </w:p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Основной текст_"/>
    <w:basedOn w:val="a0"/>
    <w:link w:val="21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f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2"/>
    <w:pPr>
      <w:widowControl w:val="0"/>
      <w:shd w:val="clear" w:color="auto" w:fill="FFFFFF"/>
      <w:spacing w:after="0" w:line="0" w:lineRule="atLeast"/>
      <w:jc w:val="both"/>
    </w:pPr>
    <w:rPr>
      <w:sz w:val="26"/>
      <w:szCs w:val="26"/>
    </w:rPr>
  </w:style>
  <w:style w:type="paragraph" w:customStyle="1" w:styleId="23">
    <w:name w:val="Заголовок №2"/>
    <w:basedOn w:val="a"/>
    <w:link w:val="22"/>
    <w:pPr>
      <w:widowControl w:val="0"/>
      <w:shd w:val="clear" w:color="auto" w:fill="FFFFFF"/>
      <w:spacing w:after="0" w:line="322" w:lineRule="exact"/>
      <w:ind w:hanging="1400"/>
      <w:outlineLvl w:val="1"/>
    </w:pPr>
    <w:rPr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widowControl w:val="0"/>
      <w:shd w:val="clear" w:color="auto" w:fill="FFFFFF"/>
      <w:spacing w:after="0" w:line="322" w:lineRule="exact"/>
      <w:jc w:val="both"/>
      <w:outlineLvl w:val="0"/>
    </w:pPr>
    <w:rPr>
      <w:b/>
      <w:bCs/>
      <w:sz w:val="26"/>
      <w:szCs w:val="26"/>
    </w:rPr>
  </w:style>
  <w:style w:type="paragraph" w:styleId="af3">
    <w:name w:val="Body Text"/>
    <w:basedOn w:val="a"/>
    <w:link w:val="af4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Абзац списка1"/>
    <w:basedOn w:val="a"/>
    <w:pPr>
      <w:suppressAutoHyphens/>
      <w:ind w:left="720"/>
    </w:pPr>
    <w:rPr>
      <w:rFonts w:ascii="Calibri" w:eastAsia="Times New Roman" w:hAnsi="Calibri" w:cs="Calibri"/>
    </w:rPr>
  </w:style>
  <w:style w:type="table" w:customStyle="1" w:styleId="11">
    <w:name w:val="Сетка таблицы1"/>
    <w:basedOn w:val="a1"/>
    <w:next w:val="a9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2F4F79E39861B06957488730B5A094E985DA06649144E22B20C3D1B4B3BE76BAA702CED7F2F99DF6F66300CD138935465E6A662BD88C8kCi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5F7F-EF82-482F-9D3B-FCB83C8E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И.В.</dc:creator>
  <cp:keywords/>
  <dc:description/>
  <cp:lastModifiedBy>Пользователь</cp:lastModifiedBy>
  <cp:revision>7</cp:revision>
  <cp:lastPrinted>2024-10-25T12:51:00Z</cp:lastPrinted>
  <dcterms:created xsi:type="dcterms:W3CDTF">2024-09-23T06:53:00Z</dcterms:created>
  <dcterms:modified xsi:type="dcterms:W3CDTF">2024-10-25T12:51:00Z</dcterms:modified>
</cp:coreProperties>
</file>