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</w:rPr>
      </w:pPr>
      <w:r>
        <w:rPr>
          <w:b/>
          <w:noProof/>
        </w:rPr>
        <w:drawing>
          <wp:inline distT="0" distB="0" distL="0" distR="0">
            <wp:extent cx="6858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>
        <w:trPr>
          <w:trHeight w:val="2731"/>
        </w:trPr>
        <w:tc>
          <w:tcPr>
            <w:tcW w:w="9781" w:type="dxa"/>
          </w:tcPr>
          <w:p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АДМИНИСТРАЦИЯ</w:t>
            </w:r>
          </w:p>
          <w:p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bCs/>
                <w:sz w:val="16"/>
                <w:szCs w:val="16"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eastAsia="en-US"/>
              </w:rPr>
              <w:t>ПОСТАНОВЛЕНИЕ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>«</w:t>
            </w:r>
            <w:r>
              <w:rPr>
                <w:rFonts w:ascii="Arial" w:eastAsia="Calibri" w:hAnsi="Arial" w:cs="Arial"/>
                <w:b/>
                <w:lang w:eastAsia="en-US"/>
              </w:rPr>
              <w:t>25» июля 2022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ab/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b/>
                <w:lang w:eastAsia="en-US"/>
              </w:rPr>
              <w:t>№17</w:t>
            </w:r>
          </w:p>
        </w:tc>
      </w:tr>
    </w:tbl>
    <w:p>
      <w:pPr>
        <w:widowControl w:val="0"/>
        <w:tabs>
          <w:tab w:val="left" w:pos="1920"/>
        </w:tabs>
        <w:jc w:val="center"/>
        <w:rPr>
          <w:rFonts w:ascii="Arial" w:hAnsi="Arial" w:cs="Arial"/>
          <w:bCs/>
          <w:sz w:val="24"/>
          <w:szCs w:val="24"/>
        </w:rPr>
      </w:pPr>
    </w:p>
    <w:p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нарушений обязательных</w:t>
      </w:r>
    </w:p>
    <w:p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законодательства в сфере муниципального контроля,</w:t>
      </w:r>
    </w:p>
    <w:p>
      <w:pPr>
        <w:pStyle w:val="af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осуществляемого </w:t>
      </w:r>
      <w:r>
        <w:rPr>
          <w:b/>
          <w:bCs/>
          <w:sz w:val="28"/>
          <w:szCs w:val="28"/>
        </w:rPr>
        <w:t>администрацией Пушкарского сельского поселения</w:t>
      </w:r>
    </w:p>
    <w:p>
      <w:pPr>
        <w:pStyle w:val="af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 и плановый период 2023-2024 гг.</w:t>
      </w:r>
    </w:p>
    <w:p>
      <w:pPr>
        <w:pStyle w:val="af0"/>
        <w:jc w:val="center"/>
        <w:rPr>
          <w:b/>
          <w:sz w:val="28"/>
          <w:szCs w:val="28"/>
        </w:rPr>
      </w:pPr>
    </w:p>
    <w:p>
      <w:pPr>
        <w:pStyle w:val="af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8"/>
          <w:szCs w:val="28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Пушкарского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Пушкарского сельского поселения </w:t>
      </w:r>
      <w:r>
        <w:rPr>
          <w:b/>
          <w:spacing w:val="2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bCs/>
          <w:sz w:val="28"/>
          <w:szCs w:val="28"/>
        </w:rPr>
        <w:t>администрацией Пушкарского сельского поселения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2022 год и плановый период 2023-2024 гг. </w:t>
      </w:r>
      <w:r>
        <w:rPr>
          <w:sz w:val="28"/>
          <w:szCs w:val="28"/>
        </w:rPr>
        <w:t>(прилагается).</w:t>
      </w:r>
    </w:p>
    <w:p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r>
        <w:rPr>
          <w:bCs/>
          <w:sz w:val="28"/>
          <w:szCs w:val="28"/>
        </w:rPr>
        <w:t>Пушкарского</w:t>
      </w:r>
      <w:r>
        <w:rPr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sz w:val="28"/>
          <w:szCs w:val="28"/>
        </w:rPr>
        <w:t>Пушкарского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2022 год и плановый период 2023-2024 гг.</w:t>
      </w:r>
    </w:p>
    <w:p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.</w:t>
      </w:r>
    </w:p>
    <w:p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af0"/>
        <w:jc w:val="both"/>
        <w:rPr>
          <w:sz w:val="28"/>
          <w:szCs w:val="28"/>
        </w:rPr>
      </w:pPr>
    </w:p>
    <w:p>
      <w:pPr>
        <w:pStyle w:val="af0"/>
        <w:jc w:val="both"/>
        <w:rPr>
          <w:sz w:val="28"/>
          <w:szCs w:val="28"/>
        </w:rPr>
      </w:pPr>
    </w:p>
    <w:p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</w:t>
      </w:r>
    </w:p>
    <w:p>
      <w:pPr>
        <w:pStyle w:val="af0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Пушкарского сельского поселения                                                              В.А.Юшин</w:t>
      </w:r>
    </w:p>
    <w:p>
      <w:pPr>
        <w:pStyle w:val="af0"/>
        <w:jc w:val="both"/>
        <w:rPr>
          <w:sz w:val="28"/>
          <w:szCs w:val="28"/>
        </w:rPr>
      </w:pPr>
    </w:p>
    <w:p>
      <w:pPr>
        <w:pStyle w:val="af0"/>
        <w:jc w:val="both"/>
        <w:rPr>
          <w:sz w:val="28"/>
          <w:szCs w:val="28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b/>
          <w:sz w:val="26"/>
          <w:szCs w:val="26"/>
        </w:rPr>
      </w:pPr>
    </w:p>
    <w:p>
      <w:pPr>
        <w:pStyle w:val="af0"/>
        <w:jc w:val="both"/>
        <w:rPr>
          <w:b/>
          <w:sz w:val="26"/>
          <w:szCs w:val="26"/>
        </w:rPr>
      </w:pPr>
      <w:bookmarkStart w:id="0" w:name="_GoBack"/>
      <w:bookmarkEnd w:id="0"/>
    </w:p>
    <w:p>
      <w:pPr>
        <w:pStyle w:val="af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УТВЕРЖДЕНА</w:t>
      </w:r>
    </w:p>
    <w:p>
      <w:pPr>
        <w:pStyle w:val="af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>
      <w:pPr>
        <w:pStyle w:val="af0"/>
        <w:jc w:val="right"/>
        <w:rPr>
          <w:sz w:val="26"/>
          <w:szCs w:val="26"/>
        </w:rPr>
      </w:pPr>
      <w:r>
        <w:rPr>
          <w:sz w:val="26"/>
          <w:szCs w:val="26"/>
        </w:rPr>
        <w:t>Пушкарского сельского поселения</w:t>
      </w:r>
    </w:p>
    <w:p>
      <w:pPr>
        <w:pStyle w:val="af0"/>
        <w:jc w:val="right"/>
        <w:rPr>
          <w:sz w:val="26"/>
          <w:szCs w:val="26"/>
        </w:rPr>
      </w:pPr>
      <w:r>
        <w:rPr>
          <w:sz w:val="26"/>
          <w:szCs w:val="26"/>
        </w:rPr>
        <w:t>от «25» июля 2022 года № 17</w:t>
      </w:r>
    </w:p>
    <w:p>
      <w:pPr>
        <w:pStyle w:val="af0"/>
        <w:jc w:val="both"/>
        <w:rPr>
          <w:color w:val="000000" w:themeColor="text1"/>
          <w:sz w:val="26"/>
          <w:szCs w:val="26"/>
        </w:rPr>
      </w:pPr>
    </w:p>
    <w:p>
      <w:pPr>
        <w:pStyle w:val="af0"/>
        <w:jc w:val="both"/>
        <w:rPr>
          <w:color w:val="000000" w:themeColor="text1"/>
          <w:sz w:val="26"/>
          <w:szCs w:val="26"/>
        </w:rPr>
      </w:pP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профилактики нарушений обязательных</w:t>
      </w: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требований законодательства в сфере муниципального контроля,</w:t>
      </w:r>
    </w:p>
    <w:p>
      <w:pPr>
        <w:pStyle w:val="af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осуществляемого </w:t>
      </w:r>
      <w:r>
        <w:rPr>
          <w:b/>
          <w:bCs/>
          <w:sz w:val="26"/>
          <w:szCs w:val="26"/>
        </w:rPr>
        <w:t>администрацией Пушкарского сельского поселения</w:t>
      </w:r>
    </w:p>
    <w:p>
      <w:pPr>
        <w:pStyle w:val="af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2022 год и плановый период 2023-2024 гг.</w:t>
      </w:r>
    </w:p>
    <w:p>
      <w:pPr>
        <w:pStyle w:val="af0"/>
        <w:jc w:val="center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1. Общие положения</w:t>
      </w:r>
    </w:p>
    <w:p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Программа профилактики нарушений обязательных требований, законодательства в сфере муниципального контроля, осуществляемого администрацией Пушкарского сельского поселения на 2022 год и плановый период 2023-2024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Настоящая программа разработана в целях организации проведения администрацией Пушкарского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Пушкарского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Анализ общей обстановки</w:t>
      </w:r>
    </w:p>
    <w:p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На территории Пушкарского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Функции муниципального контроля осуществляет администрация Пушкарского сельского поселения (должностные лица) на основании решения земского собрания Пушкарского сельского поселения. </w:t>
      </w:r>
    </w:p>
    <w:p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Пушкарского сельского поселения нормативных правовых актов Российской Федерации, Белгородской области, муниципального района «Белгородский район» и Пушкарского сельского поселения.</w:t>
      </w:r>
    </w:p>
    <w:p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pStyle w:val="af0"/>
        <w:jc w:val="both"/>
        <w:rPr>
          <w:color w:val="000000"/>
          <w:sz w:val="26"/>
          <w:szCs w:val="26"/>
        </w:rPr>
      </w:pPr>
    </w:p>
    <w:p>
      <w:pPr>
        <w:pStyle w:val="af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3. Цели и задачи программы</w:t>
      </w:r>
    </w:p>
    <w:p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Целью программы является: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- создание мотивации к добросовестному поведению подконтрольных субъектов;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- снижение уровня ущерба охраняемым законом ценностям.</w:t>
      </w: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Задачами программы являются: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- выявление причин, факторов и условий, способствующих нарушениям обязательных требований законодательства;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- повышение правовой культуры подконтрольных субъектов;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Источники финансирования Программы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мероприятий Программы не предусмотрено.</w:t>
      </w: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center"/>
        <w:rPr>
          <w:sz w:val="26"/>
          <w:szCs w:val="26"/>
        </w:rPr>
      </w:pPr>
      <w:r>
        <w:rPr>
          <w:sz w:val="26"/>
          <w:szCs w:val="26"/>
        </w:rPr>
        <w:t>Раздел 5. Принципы проведения профилактических мероприятий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Принципами проведения профилактических мероприятий являются: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1) Принцип информационной открытости и доступности для подконтрольных субъектов;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2) Принцип полноты охвата профилактическими мероприятиями подконтрольных субъектов.</w:t>
      </w:r>
    </w:p>
    <w:p>
      <w:pPr>
        <w:pStyle w:val="af0"/>
        <w:jc w:val="both"/>
        <w:rPr>
          <w:color w:val="000000"/>
          <w:sz w:val="26"/>
          <w:szCs w:val="26"/>
        </w:rPr>
      </w:pP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6. Целевые показатели Программы и их значения по годам</w:t>
      </w:r>
    </w:p>
    <w:p>
      <w:pPr>
        <w:pStyle w:val="af0"/>
        <w:jc w:val="both"/>
        <w:rPr>
          <w:sz w:val="26"/>
          <w:szCs w:val="26"/>
        </w:rPr>
      </w:pP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>
        <w:tc>
          <w:tcPr>
            <w:tcW w:w="7386" w:type="dxa"/>
            <w:vMerge w:val="restart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Период, год</w:t>
            </w:r>
          </w:p>
        </w:tc>
      </w:tr>
      <w:tr>
        <w:tc>
          <w:tcPr>
            <w:tcW w:w="7386" w:type="dxa"/>
            <w:vMerge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853" w:type="dxa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48" w:type="dxa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</w:tr>
      <w:tr>
        <w:tc>
          <w:tcPr>
            <w:tcW w:w="7386" w:type="dxa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>
        <w:tc>
          <w:tcPr>
            <w:tcW w:w="7386" w:type="dxa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853" w:type="dxa"/>
            <w:vAlign w:val="center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</w:tr>
    </w:tbl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7. Основные мероприятия по профилактике нарушений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7.1. План мероприятий по профилактике нарушений на 2022 год</w:t>
      </w:r>
    </w:p>
    <w:p>
      <w:pPr>
        <w:pStyle w:val="af0"/>
        <w:jc w:val="both"/>
        <w:rPr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</w:t>
            </w:r>
          </w:p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</w:t>
            </w:r>
            <w:r>
              <w:rPr>
                <w:sz w:val="26"/>
                <w:szCs w:val="26"/>
              </w:rPr>
              <w:lastRenderedPageBreak/>
              <w:t>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течение </w:t>
            </w:r>
          </w:p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pStyle w:val="af0"/>
        <w:rPr>
          <w:sz w:val="26"/>
          <w:szCs w:val="26"/>
        </w:rPr>
      </w:pPr>
    </w:p>
    <w:p>
      <w:pPr>
        <w:pStyle w:val="af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7.2. Проект плана мероприятий по профилактике нарушений на 2023 и 2024 годы</w:t>
      </w:r>
    </w:p>
    <w:p>
      <w:pPr>
        <w:pStyle w:val="af0"/>
        <w:rPr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</w:t>
            </w:r>
          </w:p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информирования граждан, юридических лиц, индивидуальных </w:t>
            </w:r>
            <w:r>
              <w:rPr>
                <w:sz w:val="26"/>
                <w:szCs w:val="26"/>
              </w:rPr>
              <w:lastRenderedPageBreak/>
              <w:t>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 мере необходимости </w:t>
            </w:r>
            <w:r>
              <w:rPr>
                <w:sz w:val="26"/>
                <w:szCs w:val="26"/>
              </w:rPr>
              <w:lastRenderedPageBreak/>
              <w:t>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сельского </w:t>
            </w:r>
            <w:r>
              <w:rPr>
                <w:sz w:val="26"/>
                <w:szCs w:val="26"/>
              </w:rPr>
              <w:lastRenderedPageBreak/>
              <w:t>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</w:t>
            </w:r>
            <w:r>
              <w:rPr>
                <w:sz w:val="26"/>
                <w:szCs w:val="26"/>
              </w:rPr>
              <w:lastRenderedPageBreak/>
              <w:t>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137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pStyle w:val="af0"/>
        <w:rPr>
          <w:sz w:val="26"/>
          <w:szCs w:val="26"/>
        </w:rPr>
      </w:pPr>
    </w:p>
    <w:p>
      <w:pPr>
        <w:pStyle w:val="af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8. Оценка эффективности программы</w:t>
      </w:r>
    </w:p>
    <w:p>
      <w:pPr>
        <w:pStyle w:val="af0"/>
        <w:rPr>
          <w:sz w:val="26"/>
          <w:szCs w:val="26"/>
        </w:rPr>
      </w:pPr>
      <w:r>
        <w:rPr>
          <w:sz w:val="26"/>
          <w:szCs w:val="26"/>
        </w:rPr>
        <w:t>8.1. Отчетные показатели</w:t>
      </w:r>
    </w:p>
    <w:p>
      <w:pPr>
        <w:pStyle w:val="af0"/>
        <w:rPr>
          <w:sz w:val="26"/>
          <w:szCs w:val="26"/>
        </w:rPr>
      </w:pPr>
    </w:p>
    <w:tbl>
      <w:tblPr>
        <w:tblStyle w:val="a4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>
        <w:tc>
          <w:tcPr>
            <w:tcW w:w="4531" w:type="dxa"/>
            <w:vMerge w:val="restart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 показателя</w:t>
            </w:r>
          </w:p>
        </w:tc>
      </w:tr>
      <w:tr>
        <w:tc>
          <w:tcPr>
            <w:tcW w:w="4531" w:type="dxa"/>
            <w:vMerge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9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9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</w:tr>
      <w:tr>
        <w:tc>
          <w:tcPr>
            <w:tcW w:w="453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pStyle w:val="af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>
            <w:pPr>
              <w:pStyle w:val="af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>
      <w:pPr>
        <w:pStyle w:val="af0"/>
        <w:rPr>
          <w:sz w:val="26"/>
          <w:szCs w:val="26"/>
        </w:rPr>
      </w:pP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pStyle w:val="af0"/>
        <w:rPr>
          <w:sz w:val="26"/>
          <w:szCs w:val="26"/>
        </w:rPr>
      </w:pPr>
    </w:p>
    <w:p>
      <w:pPr>
        <w:pStyle w:val="a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9. Ресурсное обеспечение Программы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Пушкарского сельского поселениям в информационно-телекоммуникационной сети Интернет.</w:t>
      </w:r>
    </w:p>
    <w:p>
      <w:pPr>
        <w:pStyle w:val="af0"/>
        <w:jc w:val="both"/>
        <w:rPr>
          <w:sz w:val="26"/>
          <w:szCs w:val="26"/>
        </w:rPr>
      </w:pPr>
    </w:p>
    <w:sect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3F61"/>
    <w:multiLevelType w:val="hybridMultilevel"/>
    <w:tmpl w:val="CCD6CAE2"/>
    <w:lvl w:ilvl="0" w:tplc="3E328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A1A40"/>
    <w:multiLevelType w:val="multilevel"/>
    <w:tmpl w:val="7F4A9E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440A6A08"/>
    <w:multiLevelType w:val="multilevel"/>
    <w:tmpl w:val="8B98DFC2"/>
    <w:numStyleLink w:val="a"/>
  </w:abstractNum>
  <w:abstractNum w:abstractNumId="4">
    <w:nsid w:val="62FB1328"/>
    <w:multiLevelType w:val="hybridMultilevel"/>
    <w:tmpl w:val="7B6C61E8"/>
    <w:lvl w:ilvl="0" w:tplc="CDB4F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pPr>
      <w:numPr>
        <w:numId w:val="1"/>
      </w:numPr>
    </w:pPr>
  </w:style>
  <w:style w:type="paragraph" w:styleId="a6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Pr>
      <w:rFonts w:cs="Times New Roman"/>
      <w:sz w:val="57"/>
      <w:szCs w:val="57"/>
      <w:shd w:val="clear" w:color="auto" w:fill="FFFFFF"/>
    </w:rPr>
  </w:style>
  <w:style w:type="paragraph" w:styleId="ae">
    <w:name w:val="Body Text"/>
    <w:basedOn w:val="a0"/>
    <w:link w:val="ad"/>
    <w:pPr>
      <w:widowControl w:val="0"/>
      <w:shd w:val="clear" w:color="auto" w:fill="FFFFFF"/>
      <w:spacing w:before="600" w:line="525" w:lineRule="exact"/>
      <w:jc w:val="both"/>
    </w:pPr>
    <w:rPr>
      <w:rFonts w:asciiTheme="minorHAnsi" w:eastAsiaTheme="minorHAnsi" w:hAnsiTheme="minorHAnsi"/>
      <w:sz w:val="57"/>
      <w:szCs w:val="57"/>
      <w:lang w:eastAsia="en-US"/>
    </w:rPr>
  </w:style>
  <w:style w:type="character" w:customStyle="1" w:styleId="1">
    <w:name w:val="Основной текст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pPr>
      <w:widowControl w:val="0"/>
      <w:shd w:val="clear" w:color="auto" w:fill="FFFFFF"/>
      <w:spacing w:before="540" w:after="660" w:line="235" w:lineRule="exact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af">
    <w:name w:val="Основной текст_"/>
    <w:rPr>
      <w:rFonts w:ascii="Times New Roman" w:hAnsi="Times New Roman" w:cs="Times New Roman"/>
      <w:sz w:val="27"/>
      <w:szCs w:val="27"/>
      <w:u w:val="none"/>
    </w:rPr>
  </w:style>
  <w:style w:type="paragraph" w:styleId="2">
    <w:name w:val="Body Text Indent 2"/>
    <w:basedOn w:val="a0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7271-9798-4052-BF8C-5271EBD0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2022-06-24T09:50:00Z</cp:lastPrinted>
  <dcterms:created xsi:type="dcterms:W3CDTF">2022-07-24T21:49:00Z</dcterms:created>
  <dcterms:modified xsi:type="dcterms:W3CDTF">2024-06-28T11:13:00Z</dcterms:modified>
</cp:coreProperties>
</file>